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060" w:rsidRDefault="00121060" w:rsidP="00121060">
      <w:pPr>
        <w:shd w:val="clear" w:color="auto" w:fill="FFFFFF"/>
        <w:jc w:val="center"/>
        <w:rPr>
          <w:lang w:val="uk-UA"/>
        </w:rPr>
      </w:pPr>
      <w:r>
        <w:rPr>
          <w:b/>
          <w:bCs/>
          <w:spacing w:val="-3"/>
          <w:lang w:val="uk-UA"/>
        </w:rPr>
        <w:t>ІНСТРУКЦІЯ</w:t>
      </w:r>
    </w:p>
    <w:p w:rsidR="00121060" w:rsidRDefault="00121060" w:rsidP="00121060">
      <w:pPr>
        <w:shd w:val="clear" w:color="auto" w:fill="FFFFFF"/>
        <w:jc w:val="center"/>
        <w:rPr>
          <w:b/>
          <w:bCs/>
          <w:spacing w:val="-3"/>
          <w:lang w:val="uk-UA"/>
        </w:rPr>
      </w:pPr>
      <w:r>
        <w:rPr>
          <w:b/>
          <w:bCs/>
          <w:spacing w:val="-3"/>
          <w:lang w:val="uk-UA"/>
        </w:rPr>
        <w:t>для медичного застосування лікарського засобу</w:t>
      </w:r>
    </w:p>
    <w:p w:rsidR="00121060" w:rsidRDefault="00121060" w:rsidP="00121060">
      <w:pPr>
        <w:shd w:val="clear" w:color="auto" w:fill="FFFFFF"/>
        <w:jc w:val="center"/>
        <w:rPr>
          <w:b/>
          <w:bCs/>
          <w:spacing w:val="-3"/>
          <w:lang w:val="uk-UA"/>
        </w:rPr>
      </w:pPr>
    </w:p>
    <w:p w:rsidR="00121060" w:rsidRDefault="00121060" w:rsidP="00121060">
      <w:pPr>
        <w:shd w:val="clear" w:color="auto" w:fill="FFFFFF"/>
        <w:tabs>
          <w:tab w:val="left" w:pos="4305"/>
        </w:tabs>
        <w:jc w:val="center"/>
        <w:rPr>
          <w:b/>
          <w:bCs/>
          <w:spacing w:val="-3"/>
          <w:sz w:val="28"/>
          <w:szCs w:val="28"/>
          <w:lang w:val="uk-UA"/>
        </w:rPr>
      </w:pPr>
      <w:r>
        <w:rPr>
          <w:b/>
          <w:bCs/>
          <w:spacing w:val="-3"/>
          <w:sz w:val="28"/>
          <w:szCs w:val="28"/>
          <w:lang w:val="uk-UA"/>
        </w:rPr>
        <w:t>ФОРТАЦЕФ</w:t>
      </w:r>
    </w:p>
    <w:p w:rsidR="00121060" w:rsidRDefault="00121060" w:rsidP="00121060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FORTACEF</w:t>
      </w:r>
      <w:r>
        <w:rPr>
          <w:b/>
          <w:caps/>
          <w:sz w:val="28"/>
          <w:szCs w:val="28"/>
          <w:vertAlign w:val="superscript"/>
          <w:lang w:val="uk-UA"/>
        </w:rPr>
        <w:t>®</w:t>
      </w:r>
    </w:p>
    <w:p w:rsidR="00121060" w:rsidRDefault="00121060" w:rsidP="00121060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121060" w:rsidRDefault="00121060" w:rsidP="00121060">
      <w:pPr>
        <w:rPr>
          <w:lang w:val="uk-UA"/>
        </w:rPr>
      </w:pPr>
      <w:r>
        <w:rPr>
          <w:b/>
          <w:bCs/>
          <w:i/>
          <w:iCs/>
          <w:spacing w:val="-4"/>
          <w:lang w:val="uk-UA"/>
        </w:rPr>
        <w:t>Склад:</w:t>
      </w:r>
    </w:p>
    <w:p w:rsidR="00121060" w:rsidRDefault="00121060" w:rsidP="00121060">
      <w:pPr>
        <w:shd w:val="clear" w:color="auto" w:fill="FFFFFF"/>
        <w:spacing w:line="274" w:lineRule="exact"/>
        <w:jc w:val="both"/>
        <w:rPr>
          <w:lang w:val="uk-UA"/>
        </w:rPr>
      </w:pPr>
      <w:r>
        <w:rPr>
          <w:i/>
          <w:iCs/>
          <w:spacing w:val="-1"/>
          <w:lang w:val="uk-UA"/>
        </w:rPr>
        <w:t xml:space="preserve">діюча речовина: </w:t>
      </w:r>
      <w:proofErr w:type="spellStart"/>
      <w:r>
        <w:rPr>
          <w:lang w:val="uk-UA"/>
        </w:rPr>
        <w:t>cefepime</w:t>
      </w:r>
      <w:proofErr w:type="spellEnd"/>
      <w:r>
        <w:rPr>
          <w:lang w:val="uk-UA"/>
        </w:rPr>
        <w:t>;</w:t>
      </w:r>
    </w:p>
    <w:p w:rsidR="00121060" w:rsidRDefault="00121060" w:rsidP="00121060">
      <w:pPr>
        <w:jc w:val="both"/>
        <w:rPr>
          <w:lang w:val="uk-UA"/>
        </w:rPr>
      </w:pPr>
      <w:r>
        <w:rPr>
          <w:lang w:val="uk-UA"/>
        </w:rPr>
        <w:t xml:space="preserve">1 флакон містить </w:t>
      </w:r>
      <w:proofErr w:type="spellStart"/>
      <w:r>
        <w:rPr>
          <w:lang w:val="uk-UA"/>
        </w:rPr>
        <w:t>цефепіму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гідрохлориду</w:t>
      </w:r>
      <w:proofErr w:type="spellEnd"/>
      <w:r>
        <w:rPr>
          <w:lang w:val="uk-UA"/>
        </w:rPr>
        <w:t xml:space="preserve"> еквівалентно </w:t>
      </w:r>
      <w:proofErr w:type="spellStart"/>
      <w:r>
        <w:rPr>
          <w:lang w:val="uk-UA"/>
        </w:rPr>
        <w:t>цефепіму</w:t>
      </w:r>
      <w:proofErr w:type="spellEnd"/>
      <w:r>
        <w:rPr>
          <w:lang w:val="uk-UA"/>
        </w:rPr>
        <w:t xml:space="preserve"> 1000 мг;</w:t>
      </w:r>
    </w:p>
    <w:p w:rsidR="00121060" w:rsidRDefault="00121060" w:rsidP="00121060">
      <w:pPr>
        <w:jc w:val="both"/>
        <w:rPr>
          <w:b/>
          <w:bCs/>
          <w:iCs/>
          <w:lang w:val="uk-UA"/>
        </w:rPr>
      </w:pPr>
      <w:r>
        <w:rPr>
          <w:i/>
          <w:lang w:val="uk-UA"/>
        </w:rPr>
        <w:t>допоміжна речовина:</w:t>
      </w:r>
      <w:r>
        <w:rPr>
          <w:lang w:val="uk-UA"/>
        </w:rPr>
        <w:t xml:space="preserve"> L-аргінін.</w:t>
      </w:r>
    </w:p>
    <w:p w:rsidR="00121060" w:rsidRDefault="00121060" w:rsidP="00121060">
      <w:pPr>
        <w:shd w:val="clear" w:color="auto" w:fill="FFFFFF"/>
        <w:spacing w:line="274" w:lineRule="exact"/>
        <w:jc w:val="both"/>
        <w:rPr>
          <w:lang w:val="uk-UA"/>
        </w:rPr>
      </w:pPr>
    </w:p>
    <w:p w:rsidR="00121060" w:rsidRDefault="00121060" w:rsidP="00121060">
      <w:pPr>
        <w:shd w:val="clear" w:color="auto" w:fill="FFFFFF"/>
        <w:spacing w:line="274" w:lineRule="exact"/>
        <w:jc w:val="both"/>
        <w:rPr>
          <w:lang w:val="uk-UA"/>
        </w:rPr>
      </w:pPr>
      <w:r>
        <w:rPr>
          <w:b/>
          <w:bCs/>
          <w:spacing w:val="-1"/>
          <w:lang w:val="uk-UA"/>
        </w:rPr>
        <w:t xml:space="preserve">Лікарська форма. </w:t>
      </w:r>
      <w:r>
        <w:rPr>
          <w:lang w:val="uk-UA"/>
        </w:rPr>
        <w:t xml:space="preserve">Порошок для розчину для ін’єкцій.  </w:t>
      </w:r>
    </w:p>
    <w:p w:rsidR="00121060" w:rsidRDefault="00121060" w:rsidP="00121060">
      <w:pPr>
        <w:shd w:val="clear" w:color="auto" w:fill="FFFFFF"/>
        <w:spacing w:before="389" w:line="274" w:lineRule="exact"/>
        <w:contextualSpacing/>
        <w:jc w:val="both"/>
        <w:rPr>
          <w:lang w:val="uk-UA"/>
        </w:rPr>
      </w:pPr>
      <w:r>
        <w:rPr>
          <w:bCs/>
          <w:i/>
          <w:spacing w:val="-1"/>
          <w:lang w:val="uk-UA"/>
        </w:rPr>
        <w:t>О</w:t>
      </w:r>
      <w:r>
        <w:rPr>
          <w:bCs/>
          <w:i/>
          <w:iCs/>
          <w:lang w:val="uk-UA"/>
        </w:rPr>
        <w:t>сновні фізико-хімічні властивості:</w:t>
      </w:r>
      <w:r>
        <w:rPr>
          <w:b/>
          <w:bCs/>
          <w:i/>
          <w:iCs/>
          <w:lang w:val="uk-UA"/>
        </w:rPr>
        <w:t xml:space="preserve"> </w:t>
      </w:r>
      <w:r>
        <w:rPr>
          <w:lang w:val="uk-UA"/>
        </w:rPr>
        <w:t>порошок від білого до жовтуватого кольору.</w:t>
      </w:r>
    </w:p>
    <w:p w:rsidR="00121060" w:rsidRDefault="00121060" w:rsidP="00121060">
      <w:pPr>
        <w:shd w:val="clear" w:color="auto" w:fill="FFFFFF"/>
        <w:spacing w:line="274" w:lineRule="exact"/>
        <w:jc w:val="both"/>
        <w:rPr>
          <w:lang w:val="uk-UA"/>
        </w:rPr>
      </w:pPr>
    </w:p>
    <w:p w:rsidR="00121060" w:rsidRDefault="00121060" w:rsidP="00121060">
      <w:pPr>
        <w:shd w:val="clear" w:color="auto" w:fill="FFFFFF"/>
        <w:spacing w:line="274" w:lineRule="exact"/>
        <w:jc w:val="both"/>
        <w:rPr>
          <w:lang w:val="uk-UA"/>
        </w:rPr>
      </w:pPr>
      <w:proofErr w:type="spellStart"/>
      <w:r>
        <w:rPr>
          <w:b/>
          <w:bCs/>
          <w:spacing w:val="-2"/>
          <w:lang w:val="uk-UA"/>
        </w:rPr>
        <w:t>Фармакотерапевтична</w:t>
      </w:r>
      <w:proofErr w:type="spellEnd"/>
      <w:r>
        <w:rPr>
          <w:b/>
          <w:bCs/>
          <w:spacing w:val="-2"/>
          <w:lang w:val="uk-UA"/>
        </w:rPr>
        <w:t xml:space="preserve"> група.</w:t>
      </w:r>
    </w:p>
    <w:p w:rsidR="00121060" w:rsidRDefault="00121060" w:rsidP="00121060">
      <w:pPr>
        <w:jc w:val="both"/>
        <w:rPr>
          <w:bCs/>
          <w:lang w:val="uk-UA"/>
        </w:rPr>
      </w:pPr>
      <w:r>
        <w:rPr>
          <w:lang w:val="uk-UA"/>
        </w:rPr>
        <w:t>Антибактеріальні засоби для системного застосування. Інші β-</w:t>
      </w:r>
      <w:proofErr w:type="spellStart"/>
      <w:r>
        <w:rPr>
          <w:lang w:val="uk-UA"/>
        </w:rPr>
        <w:t>лактамні</w:t>
      </w:r>
      <w:proofErr w:type="spellEnd"/>
      <w:r>
        <w:rPr>
          <w:lang w:val="uk-UA"/>
        </w:rPr>
        <w:t xml:space="preserve"> антибіотики. </w:t>
      </w:r>
      <w:proofErr w:type="spellStart"/>
      <w:r>
        <w:rPr>
          <w:lang w:val="uk-UA"/>
        </w:rPr>
        <w:t>Цефалоспорини</w:t>
      </w:r>
      <w:proofErr w:type="spellEnd"/>
      <w:r>
        <w:rPr>
          <w:lang w:val="uk-UA"/>
        </w:rPr>
        <w:t xml:space="preserve"> четвертого покоління. </w:t>
      </w:r>
      <w:proofErr w:type="spellStart"/>
      <w:r>
        <w:rPr>
          <w:lang w:val="uk-UA"/>
        </w:rPr>
        <w:t>Цефепім</w:t>
      </w:r>
      <w:proofErr w:type="spellEnd"/>
      <w:r>
        <w:rPr>
          <w:lang w:val="uk-UA"/>
        </w:rPr>
        <w:t>.</w:t>
      </w:r>
    </w:p>
    <w:p w:rsidR="00121060" w:rsidRDefault="00121060" w:rsidP="00121060">
      <w:pPr>
        <w:jc w:val="both"/>
        <w:rPr>
          <w:lang w:val="uk-UA"/>
        </w:rPr>
      </w:pPr>
      <w:r>
        <w:rPr>
          <w:lang w:val="uk-UA"/>
        </w:rPr>
        <w:t>Код АТХ J01D Е01.</w:t>
      </w:r>
      <w:r>
        <w:rPr>
          <w:lang w:val="uk-UA"/>
        </w:rPr>
        <w:tab/>
      </w:r>
    </w:p>
    <w:p w:rsidR="00121060" w:rsidRDefault="00121060" w:rsidP="00121060">
      <w:pPr>
        <w:jc w:val="both"/>
        <w:rPr>
          <w:lang w:val="uk-UA"/>
        </w:rPr>
      </w:pPr>
    </w:p>
    <w:p w:rsidR="00121060" w:rsidRDefault="00121060" w:rsidP="00121060">
      <w:pPr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Фармакологічні властивості.</w:t>
      </w:r>
    </w:p>
    <w:p w:rsidR="00121060" w:rsidRDefault="00121060" w:rsidP="00121060">
      <w:pPr>
        <w:jc w:val="both"/>
        <w:rPr>
          <w:i/>
          <w:iCs/>
          <w:lang w:val="uk-UA"/>
        </w:rPr>
      </w:pPr>
      <w:proofErr w:type="spellStart"/>
      <w:r>
        <w:rPr>
          <w:i/>
          <w:iCs/>
          <w:lang w:val="uk-UA"/>
        </w:rPr>
        <w:t>Фармакодинаміка</w:t>
      </w:r>
      <w:proofErr w:type="spellEnd"/>
      <w:r>
        <w:rPr>
          <w:i/>
          <w:iCs/>
          <w:lang w:val="uk-UA"/>
        </w:rPr>
        <w:t>.</w:t>
      </w:r>
    </w:p>
    <w:p w:rsidR="00121060" w:rsidRDefault="00121060" w:rsidP="00121060">
      <w:pPr>
        <w:jc w:val="both"/>
        <w:rPr>
          <w:lang w:val="uk-UA"/>
        </w:rPr>
      </w:pPr>
      <w:proofErr w:type="spellStart"/>
      <w:r>
        <w:rPr>
          <w:lang w:val="uk-UA"/>
        </w:rPr>
        <w:t>Цефепім</w:t>
      </w:r>
      <w:proofErr w:type="spellEnd"/>
      <w:r>
        <w:rPr>
          <w:lang w:val="uk-UA"/>
        </w:rPr>
        <w:t xml:space="preserve"> — β-</w:t>
      </w:r>
      <w:proofErr w:type="spellStart"/>
      <w:r>
        <w:rPr>
          <w:lang w:val="uk-UA"/>
        </w:rPr>
        <w:t>лактамний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цефалоспориновий</w:t>
      </w:r>
      <w:proofErr w:type="spellEnd"/>
      <w:r>
        <w:rPr>
          <w:lang w:val="uk-UA"/>
        </w:rPr>
        <w:t xml:space="preserve"> антибіотик IV покоління широкого спектра дії для </w:t>
      </w:r>
      <w:proofErr w:type="spellStart"/>
      <w:r>
        <w:rPr>
          <w:lang w:val="uk-UA"/>
        </w:rPr>
        <w:t>парентерального</w:t>
      </w:r>
      <w:proofErr w:type="spellEnd"/>
      <w:r>
        <w:rPr>
          <w:lang w:val="uk-UA"/>
        </w:rPr>
        <w:t xml:space="preserve"> застосування. Чинить бактерицидну дію. Активний щодо </w:t>
      </w:r>
      <w:proofErr w:type="spellStart"/>
      <w:r>
        <w:rPr>
          <w:lang w:val="uk-UA"/>
        </w:rPr>
        <w:t>грампозитивних</w:t>
      </w:r>
      <w:proofErr w:type="spellEnd"/>
      <w:r>
        <w:rPr>
          <w:lang w:val="uk-UA"/>
        </w:rPr>
        <w:t xml:space="preserve"> і </w:t>
      </w:r>
      <w:proofErr w:type="spellStart"/>
      <w:r>
        <w:rPr>
          <w:lang w:val="uk-UA"/>
        </w:rPr>
        <w:t>грамнегативних</w:t>
      </w:r>
      <w:proofErr w:type="spellEnd"/>
      <w:r>
        <w:rPr>
          <w:lang w:val="uk-UA"/>
        </w:rPr>
        <w:t xml:space="preserve"> бактерій, включаючи більшість штамів, стійких до </w:t>
      </w:r>
      <w:proofErr w:type="spellStart"/>
      <w:r>
        <w:rPr>
          <w:lang w:val="uk-UA"/>
        </w:rPr>
        <w:t>аміноглікозидів</w:t>
      </w:r>
      <w:proofErr w:type="spellEnd"/>
      <w:r>
        <w:rPr>
          <w:lang w:val="uk-UA"/>
        </w:rPr>
        <w:t xml:space="preserve"> або </w:t>
      </w:r>
      <w:proofErr w:type="spellStart"/>
      <w:r>
        <w:rPr>
          <w:lang w:val="uk-UA"/>
        </w:rPr>
        <w:t>цефалоспоринових</w:t>
      </w:r>
      <w:proofErr w:type="spellEnd"/>
      <w:r>
        <w:rPr>
          <w:lang w:val="uk-UA"/>
        </w:rPr>
        <w:t xml:space="preserve"> антибіотиків ІІІ покоління. </w:t>
      </w:r>
      <w:proofErr w:type="spellStart"/>
      <w:r>
        <w:rPr>
          <w:lang w:val="uk-UA"/>
        </w:rPr>
        <w:t>Цефепім</w:t>
      </w:r>
      <w:proofErr w:type="spellEnd"/>
      <w:r>
        <w:rPr>
          <w:lang w:val="uk-UA"/>
        </w:rPr>
        <w:t xml:space="preserve"> пригнічує синтез ферментів стінки бактеріальної клітини. Препарат </w:t>
      </w:r>
      <w:proofErr w:type="spellStart"/>
      <w:r>
        <w:rPr>
          <w:lang w:val="uk-UA"/>
        </w:rPr>
        <w:t>високостійкий</w:t>
      </w:r>
      <w:proofErr w:type="spellEnd"/>
      <w:r>
        <w:rPr>
          <w:lang w:val="uk-UA"/>
        </w:rPr>
        <w:t xml:space="preserve"> до гідролізу β-</w:t>
      </w:r>
      <w:proofErr w:type="spellStart"/>
      <w:r>
        <w:rPr>
          <w:lang w:val="uk-UA"/>
        </w:rPr>
        <w:t>лактамазами</w:t>
      </w:r>
      <w:proofErr w:type="spellEnd"/>
      <w:r>
        <w:rPr>
          <w:lang w:val="uk-UA"/>
        </w:rPr>
        <w:t>, має малу спорідненість з β-</w:t>
      </w:r>
      <w:proofErr w:type="spellStart"/>
      <w:r>
        <w:rPr>
          <w:lang w:val="uk-UA"/>
        </w:rPr>
        <w:t>лактамазами</w:t>
      </w:r>
      <w:proofErr w:type="spellEnd"/>
      <w:r>
        <w:rPr>
          <w:lang w:val="uk-UA"/>
        </w:rPr>
        <w:t xml:space="preserve">, які кодуються хромосомними генами, і швидко проникає у </w:t>
      </w:r>
      <w:proofErr w:type="spellStart"/>
      <w:r>
        <w:rPr>
          <w:lang w:val="uk-UA"/>
        </w:rPr>
        <w:t>грамнегативні</w:t>
      </w:r>
      <w:proofErr w:type="spellEnd"/>
      <w:r>
        <w:rPr>
          <w:lang w:val="uk-UA"/>
        </w:rPr>
        <w:t xml:space="preserve"> бактеріальні клітини.</w:t>
      </w:r>
    </w:p>
    <w:p w:rsidR="00121060" w:rsidRDefault="00121060" w:rsidP="00121060">
      <w:pPr>
        <w:jc w:val="both"/>
        <w:rPr>
          <w:lang w:val="uk-UA"/>
        </w:rPr>
      </w:pPr>
      <w:proofErr w:type="spellStart"/>
      <w:r>
        <w:rPr>
          <w:lang w:val="uk-UA"/>
        </w:rPr>
        <w:t>Цефепім</w:t>
      </w:r>
      <w:proofErr w:type="spellEnd"/>
      <w:r>
        <w:rPr>
          <w:lang w:val="uk-UA"/>
        </w:rPr>
        <w:t xml:space="preserve"> активний відносно:</w:t>
      </w:r>
    </w:p>
    <w:p w:rsidR="00121060" w:rsidRDefault="00121060" w:rsidP="00121060">
      <w:pPr>
        <w:jc w:val="both"/>
        <w:rPr>
          <w:lang w:val="uk-UA"/>
        </w:rPr>
      </w:pPr>
      <w:proofErr w:type="spellStart"/>
      <w:r>
        <w:rPr>
          <w:lang w:val="uk-UA"/>
        </w:rPr>
        <w:t>грампозитивних</w:t>
      </w:r>
      <w:proofErr w:type="spellEnd"/>
      <w:r>
        <w:rPr>
          <w:lang w:val="uk-UA"/>
        </w:rPr>
        <w:t xml:space="preserve"> аеробів: </w:t>
      </w:r>
      <w:proofErr w:type="spellStart"/>
      <w:r>
        <w:rPr>
          <w:i/>
          <w:iCs/>
          <w:lang w:val="uk-UA"/>
        </w:rPr>
        <w:t>Staphylococcus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aureus</w:t>
      </w:r>
      <w:proofErr w:type="spellEnd"/>
      <w:r>
        <w:rPr>
          <w:lang w:val="uk-UA"/>
        </w:rPr>
        <w:t xml:space="preserve">, </w:t>
      </w:r>
      <w:proofErr w:type="spellStart"/>
      <w:r>
        <w:rPr>
          <w:i/>
          <w:iCs/>
          <w:lang w:val="uk-UA"/>
        </w:rPr>
        <w:t>Staphylococcus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epidermidis</w:t>
      </w:r>
      <w:proofErr w:type="spellEnd"/>
      <w:r>
        <w:rPr>
          <w:i/>
          <w:iCs/>
          <w:lang w:val="uk-UA"/>
        </w:rPr>
        <w:t xml:space="preserve"> </w:t>
      </w:r>
      <w:r>
        <w:rPr>
          <w:lang w:val="uk-UA"/>
        </w:rPr>
        <w:t>(включаючи штами, що продукують β-</w:t>
      </w:r>
      <w:proofErr w:type="spellStart"/>
      <w:r>
        <w:rPr>
          <w:lang w:val="uk-UA"/>
        </w:rPr>
        <w:t>лактамазу</w:t>
      </w:r>
      <w:proofErr w:type="spellEnd"/>
      <w:r>
        <w:rPr>
          <w:lang w:val="uk-UA"/>
        </w:rPr>
        <w:t xml:space="preserve">), </w:t>
      </w:r>
      <w:proofErr w:type="spellStart"/>
      <w:r>
        <w:rPr>
          <w:i/>
          <w:iCs/>
          <w:lang w:val="uk-UA"/>
        </w:rPr>
        <w:t>Staphylococcushominis</w:t>
      </w:r>
      <w:proofErr w:type="spellEnd"/>
      <w:r>
        <w:rPr>
          <w:i/>
          <w:iCs/>
          <w:lang w:val="uk-UA"/>
        </w:rPr>
        <w:t xml:space="preserve">, </w:t>
      </w:r>
      <w:proofErr w:type="spellStart"/>
      <w:r>
        <w:rPr>
          <w:i/>
          <w:iCs/>
          <w:lang w:val="uk-UA"/>
        </w:rPr>
        <w:t>Staphylococcussaprophyticus</w:t>
      </w:r>
      <w:proofErr w:type="spellEnd"/>
      <w:r>
        <w:rPr>
          <w:lang w:val="uk-UA"/>
        </w:rPr>
        <w:t xml:space="preserve">, </w:t>
      </w:r>
      <w:proofErr w:type="spellStart"/>
      <w:r>
        <w:rPr>
          <w:i/>
          <w:iCs/>
          <w:lang w:val="uk-UA"/>
        </w:rPr>
        <w:t>Streptococcus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pyogenes</w:t>
      </w:r>
      <w:proofErr w:type="spellEnd"/>
      <w:r>
        <w:rPr>
          <w:i/>
          <w:iCs/>
          <w:lang w:val="uk-UA"/>
        </w:rPr>
        <w:t xml:space="preserve"> </w:t>
      </w:r>
      <w:r>
        <w:rPr>
          <w:lang w:val="uk-UA"/>
        </w:rPr>
        <w:t xml:space="preserve">(групи А), </w:t>
      </w:r>
      <w:proofErr w:type="spellStart"/>
      <w:r>
        <w:rPr>
          <w:i/>
          <w:iCs/>
          <w:lang w:val="uk-UA"/>
        </w:rPr>
        <w:t>Streptococcus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agalactiae</w:t>
      </w:r>
      <w:proofErr w:type="spellEnd"/>
      <w:r>
        <w:rPr>
          <w:i/>
          <w:iCs/>
          <w:lang w:val="uk-UA"/>
        </w:rPr>
        <w:t xml:space="preserve"> </w:t>
      </w:r>
      <w:r>
        <w:rPr>
          <w:lang w:val="uk-UA"/>
        </w:rPr>
        <w:t xml:space="preserve">(групи В), </w:t>
      </w:r>
      <w:proofErr w:type="spellStart"/>
      <w:r>
        <w:rPr>
          <w:i/>
          <w:iCs/>
          <w:lang w:val="uk-UA"/>
        </w:rPr>
        <w:t>Streptococcus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pneumoniae</w:t>
      </w:r>
      <w:proofErr w:type="spellEnd"/>
      <w:r>
        <w:rPr>
          <w:i/>
          <w:iCs/>
          <w:lang w:val="uk-UA"/>
        </w:rPr>
        <w:t xml:space="preserve"> </w:t>
      </w:r>
      <w:r>
        <w:rPr>
          <w:lang w:val="uk-UA"/>
        </w:rPr>
        <w:t xml:space="preserve">(включаючи штами із середньою стійкістю до пеніциліну — МПК [мінімальна </w:t>
      </w:r>
      <w:proofErr w:type="spellStart"/>
      <w:r>
        <w:rPr>
          <w:lang w:val="uk-UA"/>
        </w:rPr>
        <w:t>пригнічувальна</w:t>
      </w:r>
      <w:proofErr w:type="spellEnd"/>
      <w:r>
        <w:rPr>
          <w:lang w:val="uk-UA"/>
        </w:rPr>
        <w:t xml:space="preserve"> концентрація] від 0,1 до 0,3 </w:t>
      </w:r>
      <w:proofErr w:type="spellStart"/>
      <w:r>
        <w:rPr>
          <w:lang w:val="uk-UA"/>
        </w:rPr>
        <w:t>мкг</w:t>
      </w:r>
      <w:proofErr w:type="spellEnd"/>
      <w:r>
        <w:rPr>
          <w:lang w:val="uk-UA"/>
        </w:rPr>
        <w:t xml:space="preserve">/мл), інші β-гемолітичні стрептококи (групи С, G, F), </w:t>
      </w:r>
      <w:proofErr w:type="spellStart"/>
      <w:r>
        <w:rPr>
          <w:i/>
          <w:iCs/>
          <w:lang w:val="uk-UA"/>
        </w:rPr>
        <w:t>Streptococcus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bovis</w:t>
      </w:r>
      <w:proofErr w:type="spellEnd"/>
      <w:r>
        <w:rPr>
          <w:i/>
          <w:iCs/>
          <w:lang w:val="uk-UA"/>
        </w:rPr>
        <w:t xml:space="preserve"> </w:t>
      </w:r>
      <w:r>
        <w:rPr>
          <w:lang w:val="uk-UA"/>
        </w:rPr>
        <w:t xml:space="preserve">(група D), </w:t>
      </w:r>
      <w:proofErr w:type="spellStart"/>
      <w:r>
        <w:rPr>
          <w:i/>
          <w:iCs/>
          <w:lang w:val="uk-UA"/>
        </w:rPr>
        <w:t>Streptococcus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viridans</w:t>
      </w:r>
      <w:proofErr w:type="spellEnd"/>
      <w:r>
        <w:rPr>
          <w:i/>
          <w:iCs/>
          <w:lang w:val="uk-UA"/>
        </w:rPr>
        <w:t>;</w:t>
      </w:r>
    </w:p>
    <w:p w:rsidR="00121060" w:rsidRDefault="00121060" w:rsidP="00121060">
      <w:pPr>
        <w:jc w:val="both"/>
        <w:rPr>
          <w:lang w:val="uk-UA"/>
        </w:rPr>
      </w:pPr>
      <w:proofErr w:type="spellStart"/>
      <w:r>
        <w:rPr>
          <w:lang w:val="uk-UA"/>
        </w:rPr>
        <w:t>грамнегативних</w:t>
      </w:r>
      <w:proofErr w:type="spellEnd"/>
      <w:r>
        <w:rPr>
          <w:lang w:val="uk-UA"/>
        </w:rPr>
        <w:t xml:space="preserve"> аеробів: </w:t>
      </w:r>
      <w:proofErr w:type="spellStart"/>
      <w:r>
        <w:rPr>
          <w:i/>
          <w:iCs/>
          <w:lang w:val="uk-UA"/>
        </w:rPr>
        <w:t>Pseudomonas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sрр</w:t>
      </w:r>
      <w:proofErr w:type="spellEnd"/>
      <w:r>
        <w:rPr>
          <w:i/>
          <w:iCs/>
          <w:lang w:val="uk-UA"/>
        </w:rPr>
        <w:t xml:space="preserve">., </w:t>
      </w:r>
      <w:r>
        <w:rPr>
          <w:lang w:val="uk-UA"/>
        </w:rPr>
        <w:t xml:space="preserve">включаючи </w:t>
      </w:r>
      <w:r>
        <w:rPr>
          <w:i/>
          <w:iCs/>
          <w:lang w:val="uk-UA"/>
        </w:rPr>
        <w:t xml:space="preserve">Р. </w:t>
      </w:r>
      <w:proofErr w:type="spellStart"/>
      <w:r>
        <w:rPr>
          <w:i/>
          <w:iCs/>
          <w:lang w:val="uk-UA"/>
        </w:rPr>
        <w:t>aeruginosa</w:t>
      </w:r>
      <w:proofErr w:type="spellEnd"/>
      <w:r>
        <w:rPr>
          <w:i/>
          <w:iCs/>
          <w:lang w:val="uk-UA"/>
        </w:rPr>
        <w:t xml:space="preserve">, Р. </w:t>
      </w:r>
      <w:proofErr w:type="spellStart"/>
      <w:r>
        <w:rPr>
          <w:i/>
          <w:iCs/>
          <w:lang w:val="uk-UA"/>
        </w:rPr>
        <w:t>putida</w:t>
      </w:r>
      <w:proofErr w:type="spellEnd"/>
      <w:r>
        <w:rPr>
          <w:i/>
          <w:iCs/>
          <w:lang w:val="uk-UA"/>
        </w:rPr>
        <w:t xml:space="preserve">, Р. </w:t>
      </w:r>
      <w:proofErr w:type="spellStart"/>
      <w:r>
        <w:rPr>
          <w:i/>
          <w:iCs/>
          <w:lang w:val="uk-UA"/>
        </w:rPr>
        <w:t>stutzeri</w:t>
      </w:r>
      <w:proofErr w:type="spellEnd"/>
      <w:r>
        <w:rPr>
          <w:i/>
          <w:iCs/>
          <w:lang w:val="uk-UA"/>
        </w:rPr>
        <w:t xml:space="preserve">; </w:t>
      </w:r>
      <w:proofErr w:type="spellStart"/>
      <w:r>
        <w:rPr>
          <w:i/>
          <w:iCs/>
          <w:lang w:val="uk-UA"/>
        </w:rPr>
        <w:t>Escherichia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соli</w:t>
      </w:r>
      <w:proofErr w:type="spellEnd"/>
      <w:r>
        <w:rPr>
          <w:i/>
          <w:iCs/>
          <w:lang w:val="uk-UA"/>
        </w:rPr>
        <w:t xml:space="preserve">, </w:t>
      </w:r>
      <w:proofErr w:type="spellStart"/>
      <w:r>
        <w:rPr>
          <w:i/>
          <w:iCs/>
          <w:lang w:val="uk-UA"/>
        </w:rPr>
        <w:t>Klebsiella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sрр</w:t>
      </w:r>
      <w:proofErr w:type="spellEnd"/>
      <w:r>
        <w:rPr>
          <w:lang w:val="uk-UA"/>
        </w:rPr>
        <w:t xml:space="preserve">., включаючи </w:t>
      </w:r>
      <w:r>
        <w:rPr>
          <w:i/>
          <w:iCs/>
          <w:lang w:val="uk-UA"/>
        </w:rPr>
        <w:t xml:space="preserve">К. </w:t>
      </w:r>
      <w:proofErr w:type="spellStart"/>
      <w:r>
        <w:rPr>
          <w:i/>
          <w:iCs/>
          <w:lang w:val="uk-UA"/>
        </w:rPr>
        <w:t>pneumoniae</w:t>
      </w:r>
      <w:proofErr w:type="spellEnd"/>
      <w:r>
        <w:rPr>
          <w:lang w:val="uk-UA"/>
        </w:rPr>
        <w:t xml:space="preserve">, </w:t>
      </w:r>
      <w:r>
        <w:rPr>
          <w:i/>
          <w:iCs/>
          <w:lang w:val="uk-UA"/>
        </w:rPr>
        <w:t xml:space="preserve">К. </w:t>
      </w:r>
      <w:proofErr w:type="spellStart"/>
      <w:r>
        <w:rPr>
          <w:i/>
          <w:iCs/>
          <w:lang w:val="uk-UA"/>
        </w:rPr>
        <w:t>охуtоса</w:t>
      </w:r>
      <w:proofErr w:type="spellEnd"/>
      <w:r>
        <w:rPr>
          <w:i/>
          <w:iCs/>
          <w:lang w:val="uk-UA"/>
        </w:rPr>
        <w:t xml:space="preserve">, К. </w:t>
      </w:r>
      <w:proofErr w:type="spellStart"/>
      <w:r>
        <w:rPr>
          <w:i/>
          <w:iCs/>
          <w:lang w:val="uk-UA"/>
        </w:rPr>
        <w:t>ozaenae</w:t>
      </w:r>
      <w:proofErr w:type="spellEnd"/>
      <w:r>
        <w:rPr>
          <w:lang w:val="uk-UA"/>
        </w:rPr>
        <w:t xml:space="preserve">; </w:t>
      </w:r>
      <w:proofErr w:type="spellStart"/>
      <w:r>
        <w:rPr>
          <w:i/>
          <w:lang w:val="uk-UA"/>
        </w:rPr>
        <w:t>Enterobacter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sрр</w:t>
      </w:r>
      <w:proofErr w:type="spellEnd"/>
      <w:r>
        <w:rPr>
          <w:lang w:val="uk-UA"/>
        </w:rPr>
        <w:t xml:space="preserve">., включаючи </w:t>
      </w:r>
      <w:r>
        <w:rPr>
          <w:i/>
          <w:iCs/>
          <w:lang w:val="uk-UA"/>
        </w:rPr>
        <w:t xml:space="preserve">Е. </w:t>
      </w:r>
      <w:proofErr w:type="spellStart"/>
      <w:r>
        <w:rPr>
          <w:i/>
          <w:iCs/>
          <w:lang w:val="uk-UA"/>
        </w:rPr>
        <w:t>сlоасае</w:t>
      </w:r>
      <w:proofErr w:type="spellEnd"/>
      <w:r>
        <w:rPr>
          <w:i/>
          <w:iCs/>
          <w:lang w:val="uk-UA"/>
        </w:rPr>
        <w:t xml:space="preserve">, Е. </w:t>
      </w:r>
      <w:proofErr w:type="spellStart"/>
      <w:r>
        <w:rPr>
          <w:i/>
          <w:iCs/>
          <w:lang w:val="uk-UA"/>
        </w:rPr>
        <w:t>aerogenes</w:t>
      </w:r>
      <w:proofErr w:type="spellEnd"/>
      <w:r>
        <w:rPr>
          <w:i/>
          <w:iCs/>
          <w:lang w:val="uk-UA"/>
        </w:rPr>
        <w:t xml:space="preserve">, E. </w:t>
      </w:r>
      <w:proofErr w:type="spellStart"/>
      <w:r>
        <w:rPr>
          <w:i/>
          <w:iCs/>
          <w:lang w:val="uk-UA"/>
        </w:rPr>
        <w:t>agglomerans</w:t>
      </w:r>
      <w:proofErr w:type="spellEnd"/>
      <w:r>
        <w:rPr>
          <w:i/>
          <w:iCs/>
          <w:lang w:val="uk-UA"/>
        </w:rPr>
        <w:t xml:space="preserve">, Е. </w:t>
      </w:r>
      <w:proofErr w:type="spellStart"/>
      <w:r>
        <w:rPr>
          <w:i/>
          <w:iCs/>
          <w:lang w:val="uk-UA"/>
        </w:rPr>
        <w:t>sakazakii</w:t>
      </w:r>
      <w:proofErr w:type="spellEnd"/>
      <w:r>
        <w:rPr>
          <w:i/>
          <w:iCs/>
          <w:lang w:val="uk-UA"/>
        </w:rPr>
        <w:t xml:space="preserve">; </w:t>
      </w:r>
      <w:proofErr w:type="spellStart"/>
      <w:r>
        <w:rPr>
          <w:i/>
          <w:iCs/>
          <w:lang w:val="uk-UA"/>
        </w:rPr>
        <w:t>Рroteus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sрр</w:t>
      </w:r>
      <w:proofErr w:type="spellEnd"/>
      <w:r>
        <w:rPr>
          <w:i/>
          <w:iCs/>
          <w:lang w:val="uk-UA"/>
        </w:rPr>
        <w:t xml:space="preserve">., </w:t>
      </w:r>
      <w:r>
        <w:rPr>
          <w:lang w:val="uk-UA"/>
        </w:rPr>
        <w:t xml:space="preserve">включаючи </w:t>
      </w:r>
      <w:r>
        <w:rPr>
          <w:i/>
          <w:iCs/>
          <w:lang w:val="uk-UA"/>
        </w:rPr>
        <w:t>Р. </w:t>
      </w:r>
      <w:proofErr w:type="spellStart"/>
      <w:r>
        <w:rPr>
          <w:i/>
          <w:iCs/>
          <w:lang w:val="uk-UA"/>
        </w:rPr>
        <w:t>mirabilis</w:t>
      </w:r>
      <w:proofErr w:type="spellEnd"/>
      <w:r>
        <w:rPr>
          <w:i/>
          <w:iCs/>
          <w:lang w:val="uk-UA"/>
        </w:rPr>
        <w:t xml:space="preserve">, Р. </w:t>
      </w:r>
      <w:proofErr w:type="spellStart"/>
      <w:r>
        <w:rPr>
          <w:i/>
          <w:iCs/>
          <w:lang w:val="uk-UA"/>
        </w:rPr>
        <w:t>vulgaris</w:t>
      </w:r>
      <w:proofErr w:type="spellEnd"/>
      <w:r>
        <w:rPr>
          <w:i/>
          <w:iCs/>
          <w:lang w:val="uk-UA"/>
        </w:rPr>
        <w:t xml:space="preserve">; </w:t>
      </w:r>
      <w:proofErr w:type="spellStart"/>
      <w:r>
        <w:rPr>
          <w:i/>
          <w:iCs/>
          <w:lang w:val="uk-UA"/>
        </w:rPr>
        <w:t>Acinetobacter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саlcoaceticus</w:t>
      </w:r>
      <w:proofErr w:type="spellEnd"/>
      <w:r>
        <w:rPr>
          <w:i/>
          <w:iCs/>
          <w:lang w:val="uk-UA"/>
        </w:rPr>
        <w:t xml:space="preserve"> </w:t>
      </w:r>
      <w:r>
        <w:rPr>
          <w:lang w:val="uk-UA"/>
        </w:rPr>
        <w:t xml:space="preserve">(включаючи підродини </w:t>
      </w:r>
      <w:proofErr w:type="spellStart"/>
      <w:r>
        <w:rPr>
          <w:i/>
          <w:iCs/>
          <w:lang w:val="uk-UA"/>
        </w:rPr>
        <w:t>Anitratus</w:t>
      </w:r>
      <w:proofErr w:type="spellEnd"/>
      <w:r>
        <w:rPr>
          <w:i/>
          <w:iCs/>
          <w:lang w:val="uk-UA"/>
        </w:rPr>
        <w:t xml:space="preserve">, </w:t>
      </w:r>
      <w:proofErr w:type="spellStart"/>
      <w:r>
        <w:rPr>
          <w:i/>
          <w:iCs/>
          <w:lang w:val="uk-UA"/>
        </w:rPr>
        <w:t>lwoffi</w:t>
      </w:r>
      <w:proofErr w:type="spellEnd"/>
      <w:r>
        <w:rPr>
          <w:lang w:val="uk-UA"/>
        </w:rPr>
        <w:t xml:space="preserve">); </w:t>
      </w:r>
      <w:proofErr w:type="spellStart"/>
      <w:r>
        <w:rPr>
          <w:i/>
          <w:iCs/>
          <w:lang w:val="uk-UA"/>
        </w:rPr>
        <w:t>Аеromonas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hydrophila</w:t>
      </w:r>
      <w:proofErr w:type="spellEnd"/>
      <w:r>
        <w:rPr>
          <w:lang w:val="uk-UA"/>
        </w:rPr>
        <w:t xml:space="preserve">; </w:t>
      </w:r>
      <w:proofErr w:type="spellStart"/>
      <w:r>
        <w:rPr>
          <w:i/>
          <w:iCs/>
          <w:lang w:val="uk-UA"/>
        </w:rPr>
        <w:t>Capnocytophaga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sрр</w:t>
      </w:r>
      <w:proofErr w:type="spellEnd"/>
      <w:r>
        <w:rPr>
          <w:i/>
          <w:iCs/>
          <w:lang w:val="uk-UA"/>
        </w:rPr>
        <w:t xml:space="preserve">.; </w:t>
      </w:r>
      <w:proofErr w:type="spellStart"/>
      <w:r>
        <w:rPr>
          <w:i/>
          <w:iCs/>
          <w:lang w:val="uk-UA"/>
        </w:rPr>
        <w:t>Citrobacter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sрр</w:t>
      </w:r>
      <w:proofErr w:type="spellEnd"/>
      <w:r>
        <w:rPr>
          <w:i/>
          <w:iCs/>
          <w:lang w:val="uk-UA"/>
        </w:rPr>
        <w:t xml:space="preserve">., </w:t>
      </w:r>
      <w:r>
        <w:rPr>
          <w:lang w:val="uk-UA"/>
        </w:rPr>
        <w:t xml:space="preserve">включаючи </w:t>
      </w:r>
      <w:r>
        <w:rPr>
          <w:i/>
          <w:iCs/>
          <w:lang w:val="uk-UA"/>
        </w:rPr>
        <w:t xml:space="preserve">С. </w:t>
      </w:r>
      <w:proofErr w:type="spellStart"/>
      <w:r>
        <w:rPr>
          <w:i/>
          <w:iCs/>
          <w:lang w:val="uk-UA"/>
        </w:rPr>
        <w:t>diversus</w:t>
      </w:r>
      <w:proofErr w:type="spellEnd"/>
      <w:r>
        <w:rPr>
          <w:i/>
          <w:iCs/>
          <w:lang w:val="uk-UA"/>
        </w:rPr>
        <w:t>,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 xml:space="preserve">С. </w:t>
      </w:r>
      <w:proofErr w:type="spellStart"/>
      <w:r>
        <w:rPr>
          <w:i/>
          <w:iCs/>
          <w:lang w:val="uk-UA"/>
        </w:rPr>
        <w:t>freundii</w:t>
      </w:r>
      <w:proofErr w:type="spellEnd"/>
      <w:r>
        <w:rPr>
          <w:i/>
          <w:iCs/>
          <w:lang w:val="uk-UA"/>
        </w:rPr>
        <w:t>;</w:t>
      </w:r>
      <w:r>
        <w:rPr>
          <w:lang w:val="uk-UA"/>
        </w:rPr>
        <w:t xml:space="preserve"> </w:t>
      </w:r>
      <w:proofErr w:type="spellStart"/>
      <w:r>
        <w:rPr>
          <w:i/>
          <w:iCs/>
          <w:lang w:val="uk-UA"/>
        </w:rPr>
        <w:t>Campylobacter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jejuni</w:t>
      </w:r>
      <w:proofErr w:type="spellEnd"/>
      <w:r>
        <w:rPr>
          <w:i/>
          <w:iCs/>
          <w:lang w:val="uk-UA"/>
        </w:rPr>
        <w:t>;</w:t>
      </w:r>
      <w:r>
        <w:rPr>
          <w:lang w:val="uk-UA"/>
        </w:rPr>
        <w:t xml:space="preserve"> </w:t>
      </w:r>
      <w:proofErr w:type="spellStart"/>
      <w:r>
        <w:rPr>
          <w:i/>
          <w:iCs/>
          <w:lang w:val="uk-UA"/>
        </w:rPr>
        <w:t>Gardnerella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vaginalis</w:t>
      </w:r>
      <w:proofErr w:type="spellEnd"/>
      <w:r>
        <w:rPr>
          <w:i/>
          <w:iCs/>
          <w:lang w:val="uk-UA"/>
        </w:rPr>
        <w:t>;</w:t>
      </w:r>
      <w:r>
        <w:rPr>
          <w:lang w:val="uk-UA"/>
        </w:rPr>
        <w:t xml:space="preserve"> </w:t>
      </w:r>
      <w:proofErr w:type="spellStart"/>
      <w:r>
        <w:rPr>
          <w:i/>
          <w:iCs/>
          <w:lang w:val="uk-UA"/>
        </w:rPr>
        <w:t>Haemophilus</w:t>
      </w:r>
      <w:proofErr w:type="spellEnd"/>
      <w:r>
        <w:rPr>
          <w:i/>
          <w:iCs/>
          <w:lang w:val="uk-UA"/>
        </w:rPr>
        <w:t xml:space="preserve">  </w:t>
      </w:r>
      <w:proofErr w:type="spellStart"/>
      <w:r>
        <w:rPr>
          <w:i/>
          <w:iCs/>
          <w:lang w:val="uk-UA"/>
        </w:rPr>
        <w:t>ducreyi</w:t>
      </w:r>
      <w:proofErr w:type="spellEnd"/>
      <w:r>
        <w:rPr>
          <w:i/>
          <w:iCs/>
          <w:lang w:val="uk-UA"/>
        </w:rPr>
        <w:t xml:space="preserve">; Н. </w:t>
      </w:r>
      <w:proofErr w:type="spellStart"/>
      <w:r>
        <w:rPr>
          <w:i/>
          <w:iCs/>
          <w:lang w:val="uk-UA"/>
        </w:rPr>
        <w:t>influenzae</w:t>
      </w:r>
      <w:proofErr w:type="spellEnd"/>
      <w:r>
        <w:rPr>
          <w:i/>
          <w:iCs/>
          <w:lang w:val="uk-UA"/>
        </w:rPr>
        <w:t xml:space="preserve"> </w:t>
      </w:r>
      <w:r>
        <w:rPr>
          <w:lang w:val="uk-UA"/>
        </w:rPr>
        <w:t>(включаючи штами, що продукують β-</w:t>
      </w:r>
      <w:proofErr w:type="spellStart"/>
      <w:r>
        <w:rPr>
          <w:lang w:val="uk-UA"/>
        </w:rPr>
        <w:t>лактамазу</w:t>
      </w:r>
      <w:proofErr w:type="spellEnd"/>
      <w:r>
        <w:rPr>
          <w:lang w:val="uk-UA"/>
        </w:rPr>
        <w:t xml:space="preserve">): </w:t>
      </w:r>
      <w:r>
        <w:rPr>
          <w:i/>
          <w:iCs/>
          <w:lang w:val="uk-UA"/>
        </w:rPr>
        <w:t xml:space="preserve">Н. </w:t>
      </w:r>
      <w:proofErr w:type="spellStart"/>
      <w:r>
        <w:rPr>
          <w:i/>
          <w:iCs/>
          <w:lang w:val="uk-UA"/>
        </w:rPr>
        <w:t>рarainfluenzae</w:t>
      </w:r>
      <w:proofErr w:type="spellEnd"/>
      <w:r>
        <w:rPr>
          <w:i/>
          <w:iCs/>
          <w:lang w:val="uk-UA"/>
        </w:rPr>
        <w:t xml:space="preserve">; </w:t>
      </w:r>
      <w:proofErr w:type="spellStart"/>
      <w:r>
        <w:rPr>
          <w:i/>
          <w:iCs/>
          <w:lang w:val="uk-UA"/>
        </w:rPr>
        <w:t>Наfnia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аlvei</w:t>
      </w:r>
      <w:proofErr w:type="spellEnd"/>
      <w:r>
        <w:rPr>
          <w:i/>
          <w:iCs/>
          <w:lang w:val="uk-UA"/>
        </w:rPr>
        <w:t xml:space="preserve">: </w:t>
      </w:r>
      <w:proofErr w:type="spellStart"/>
      <w:r>
        <w:rPr>
          <w:i/>
          <w:iCs/>
          <w:lang w:val="uk-UA"/>
        </w:rPr>
        <w:t>Legionella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sрр</w:t>
      </w:r>
      <w:proofErr w:type="spellEnd"/>
      <w:r>
        <w:rPr>
          <w:i/>
          <w:iCs/>
          <w:lang w:val="uk-UA"/>
        </w:rPr>
        <w:t xml:space="preserve">.; </w:t>
      </w:r>
      <w:proofErr w:type="spellStart"/>
      <w:r>
        <w:rPr>
          <w:i/>
          <w:iCs/>
          <w:lang w:val="uk-UA"/>
        </w:rPr>
        <w:t>Моrganella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morganii</w:t>
      </w:r>
      <w:proofErr w:type="spellEnd"/>
      <w:r>
        <w:rPr>
          <w:i/>
          <w:iCs/>
          <w:lang w:val="uk-UA"/>
        </w:rPr>
        <w:t xml:space="preserve">; </w:t>
      </w:r>
      <w:proofErr w:type="spellStart"/>
      <w:r>
        <w:rPr>
          <w:i/>
          <w:iCs/>
          <w:lang w:val="uk-UA"/>
        </w:rPr>
        <w:t>Моrахеllа</w:t>
      </w:r>
      <w:proofErr w:type="spellEnd"/>
      <w:r>
        <w:rPr>
          <w:i/>
          <w:iCs/>
          <w:lang w:val="uk-UA"/>
        </w:rPr>
        <w:t xml:space="preserve"> (</w:t>
      </w:r>
      <w:proofErr w:type="spellStart"/>
      <w:r>
        <w:rPr>
          <w:i/>
          <w:iCs/>
          <w:lang w:val="uk-UA"/>
        </w:rPr>
        <w:t>Branhamella</w:t>
      </w:r>
      <w:proofErr w:type="spellEnd"/>
      <w:r>
        <w:rPr>
          <w:i/>
          <w:iCs/>
          <w:lang w:val="uk-UA"/>
        </w:rPr>
        <w:t xml:space="preserve">) </w:t>
      </w:r>
      <w:proofErr w:type="spellStart"/>
      <w:r>
        <w:rPr>
          <w:i/>
          <w:iCs/>
          <w:lang w:val="uk-UA"/>
        </w:rPr>
        <w:t>catarrhalis</w:t>
      </w:r>
      <w:proofErr w:type="spellEnd"/>
      <w:r>
        <w:rPr>
          <w:i/>
          <w:iCs/>
          <w:lang w:val="uk-UA"/>
        </w:rPr>
        <w:t xml:space="preserve"> </w:t>
      </w:r>
      <w:r>
        <w:rPr>
          <w:lang w:val="uk-UA"/>
        </w:rPr>
        <w:t>(включаючи штами, що продукують β-</w:t>
      </w:r>
      <w:proofErr w:type="spellStart"/>
      <w:r>
        <w:rPr>
          <w:lang w:val="uk-UA"/>
        </w:rPr>
        <w:t>лактамазу</w:t>
      </w:r>
      <w:proofErr w:type="spellEnd"/>
      <w:r>
        <w:rPr>
          <w:lang w:val="uk-UA"/>
        </w:rPr>
        <w:t xml:space="preserve">); </w:t>
      </w:r>
      <w:proofErr w:type="spellStart"/>
      <w:r>
        <w:rPr>
          <w:i/>
          <w:iCs/>
          <w:lang w:val="uk-UA"/>
        </w:rPr>
        <w:t>Neisseria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gonorrhoeae</w:t>
      </w:r>
      <w:proofErr w:type="spellEnd"/>
      <w:r>
        <w:rPr>
          <w:i/>
          <w:iCs/>
          <w:lang w:val="uk-UA"/>
        </w:rPr>
        <w:t xml:space="preserve"> </w:t>
      </w:r>
      <w:r>
        <w:rPr>
          <w:lang w:val="uk-UA"/>
        </w:rPr>
        <w:t>(включаючи штами, що продукують β-</w:t>
      </w:r>
      <w:proofErr w:type="spellStart"/>
      <w:r>
        <w:rPr>
          <w:lang w:val="uk-UA"/>
        </w:rPr>
        <w:t>лактамазу</w:t>
      </w:r>
      <w:proofErr w:type="spellEnd"/>
      <w:r>
        <w:rPr>
          <w:lang w:val="uk-UA"/>
        </w:rPr>
        <w:t xml:space="preserve">); </w:t>
      </w:r>
      <w:r>
        <w:rPr>
          <w:i/>
          <w:iCs/>
          <w:lang w:val="uk-UA"/>
        </w:rPr>
        <w:t xml:space="preserve">N. </w:t>
      </w:r>
      <w:proofErr w:type="spellStart"/>
      <w:r>
        <w:rPr>
          <w:i/>
          <w:iCs/>
          <w:lang w:val="uk-UA"/>
        </w:rPr>
        <w:t>meningitidis</w:t>
      </w:r>
      <w:proofErr w:type="spellEnd"/>
      <w:r>
        <w:rPr>
          <w:lang w:val="uk-UA"/>
        </w:rPr>
        <w:t xml:space="preserve">; </w:t>
      </w:r>
      <w:proofErr w:type="spellStart"/>
      <w:r>
        <w:rPr>
          <w:i/>
          <w:iCs/>
          <w:lang w:val="uk-UA"/>
        </w:rPr>
        <w:t>Рrovidencia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sрр</w:t>
      </w:r>
      <w:proofErr w:type="spellEnd"/>
      <w:r>
        <w:rPr>
          <w:lang w:val="uk-UA"/>
        </w:rPr>
        <w:t xml:space="preserve">. (включаючи </w:t>
      </w:r>
      <w:r>
        <w:rPr>
          <w:i/>
          <w:iCs/>
          <w:lang w:val="uk-UA"/>
        </w:rPr>
        <w:t xml:space="preserve">Р. </w:t>
      </w:r>
      <w:proofErr w:type="spellStart"/>
      <w:r>
        <w:rPr>
          <w:i/>
          <w:iCs/>
          <w:lang w:val="uk-UA"/>
        </w:rPr>
        <w:t>rettgeri</w:t>
      </w:r>
      <w:proofErr w:type="spellEnd"/>
      <w:r>
        <w:rPr>
          <w:i/>
          <w:iCs/>
          <w:lang w:val="uk-UA"/>
        </w:rPr>
        <w:t xml:space="preserve">, Р. </w:t>
      </w:r>
      <w:proofErr w:type="spellStart"/>
      <w:r>
        <w:rPr>
          <w:i/>
          <w:iCs/>
          <w:lang w:val="uk-UA"/>
        </w:rPr>
        <w:t>stuartii</w:t>
      </w:r>
      <w:proofErr w:type="spellEnd"/>
      <w:r>
        <w:rPr>
          <w:i/>
          <w:iCs/>
          <w:lang w:val="uk-UA"/>
        </w:rPr>
        <w:t xml:space="preserve">); </w:t>
      </w:r>
      <w:proofErr w:type="spellStart"/>
      <w:r>
        <w:rPr>
          <w:i/>
          <w:lang w:val="uk-UA"/>
        </w:rPr>
        <w:t>S</w:t>
      </w:r>
      <w:r>
        <w:rPr>
          <w:i/>
          <w:iCs/>
          <w:lang w:val="uk-UA"/>
        </w:rPr>
        <w:t>almonella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sрр</w:t>
      </w:r>
      <w:proofErr w:type="spellEnd"/>
      <w:r>
        <w:rPr>
          <w:i/>
          <w:iCs/>
          <w:lang w:val="uk-UA"/>
        </w:rPr>
        <w:t>.</w:t>
      </w:r>
      <w:r>
        <w:rPr>
          <w:lang w:val="uk-UA"/>
        </w:rPr>
        <w:t xml:space="preserve">; </w:t>
      </w:r>
      <w:proofErr w:type="spellStart"/>
      <w:r>
        <w:rPr>
          <w:i/>
          <w:iCs/>
          <w:lang w:val="uk-UA"/>
        </w:rPr>
        <w:t>Serratia</w:t>
      </w:r>
      <w:proofErr w:type="spellEnd"/>
      <w:r>
        <w:rPr>
          <w:i/>
          <w:iCs/>
          <w:lang w:val="uk-UA"/>
        </w:rPr>
        <w:t xml:space="preserve"> </w:t>
      </w:r>
      <w:r>
        <w:rPr>
          <w:lang w:val="uk-UA"/>
        </w:rPr>
        <w:t xml:space="preserve">(включаючи </w:t>
      </w:r>
      <w:r>
        <w:rPr>
          <w:i/>
          <w:iCs/>
          <w:lang w:val="uk-UA"/>
        </w:rPr>
        <w:t xml:space="preserve">S. </w:t>
      </w:r>
      <w:proofErr w:type="spellStart"/>
      <w:r>
        <w:rPr>
          <w:i/>
          <w:iCs/>
          <w:lang w:val="uk-UA"/>
        </w:rPr>
        <w:t>marcescens</w:t>
      </w:r>
      <w:proofErr w:type="spellEnd"/>
      <w:r>
        <w:rPr>
          <w:i/>
          <w:iCs/>
          <w:lang w:val="uk-UA"/>
        </w:rPr>
        <w:t>, S. </w:t>
      </w:r>
      <w:proofErr w:type="spellStart"/>
      <w:r>
        <w:rPr>
          <w:i/>
          <w:iCs/>
          <w:lang w:val="uk-UA"/>
        </w:rPr>
        <w:t>liquefaciens</w:t>
      </w:r>
      <w:proofErr w:type="spellEnd"/>
      <w:r>
        <w:rPr>
          <w:lang w:val="uk-UA"/>
        </w:rPr>
        <w:t xml:space="preserve">); </w:t>
      </w:r>
      <w:proofErr w:type="spellStart"/>
      <w:r>
        <w:rPr>
          <w:i/>
          <w:iCs/>
          <w:lang w:val="uk-UA"/>
        </w:rPr>
        <w:t>Shigella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sрр</w:t>
      </w:r>
      <w:proofErr w:type="spellEnd"/>
      <w:r>
        <w:rPr>
          <w:i/>
          <w:iCs/>
          <w:lang w:val="uk-UA"/>
        </w:rPr>
        <w:t xml:space="preserve">.; </w:t>
      </w:r>
      <w:proofErr w:type="spellStart"/>
      <w:r>
        <w:rPr>
          <w:i/>
          <w:iCs/>
          <w:lang w:val="uk-UA"/>
        </w:rPr>
        <w:t>Yersinia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enterocolitica</w:t>
      </w:r>
      <w:proofErr w:type="spellEnd"/>
      <w:r>
        <w:rPr>
          <w:lang w:val="uk-UA"/>
        </w:rPr>
        <w:t>;</w:t>
      </w:r>
    </w:p>
    <w:p w:rsidR="00121060" w:rsidRDefault="00121060" w:rsidP="00121060">
      <w:pPr>
        <w:jc w:val="both"/>
        <w:rPr>
          <w:lang w:val="uk-UA"/>
        </w:rPr>
      </w:pPr>
      <w:r>
        <w:rPr>
          <w:lang w:val="uk-UA"/>
        </w:rPr>
        <w:t xml:space="preserve">анаеробів: </w:t>
      </w:r>
      <w:proofErr w:type="spellStart"/>
      <w:r>
        <w:rPr>
          <w:i/>
          <w:iCs/>
          <w:lang w:val="uk-UA"/>
        </w:rPr>
        <w:t>Bacteroides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sрр</w:t>
      </w:r>
      <w:proofErr w:type="spellEnd"/>
      <w:r>
        <w:rPr>
          <w:i/>
          <w:iCs/>
          <w:lang w:val="uk-UA"/>
        </w:rPr>
        <w:t xml:space="preserve">., </w:t>
      </w:r>
      <w:r>
        <w:rPr>
          <w:lang w:val="uk-UA"/>
        </w:rPr>
        <w:t xml:space="preserve">включаючи </w:t>
      </w:r>
      <w:r>
        <w:rPr>
          <w:i/>
          <w:iCs/>
          <w:lang w:val="uk-UA"/>
        </w:rPr>
        <w:t xml:space="preserve">В. </w:t>
      </w:r>
      <w:proofErr w:type="spellStart"/>
      <w:r>
        <w:rPr>
          <w:i/>
          <w:iCs/>
          <w:lang w:val="uk-UA"/>
        </w:rPr>
        <w:t>melaninogenicus</w:t>
      </w:r>
      <w:proofErr w:type="spellEnd"/>
      <w:r>
        <w:rPr>
          <w:lang w:val="uk-UA"/>
        </w:rPr>
        <w:t xml:space="preserve"> та інші мікроорганізми ротової порожнини, що належать до </w:t>
      </w:r>
      <w:proofErr w:type="spellStart"/>
      <w:r>
        <w:rPr>
          <w:i/>
          <w:iCs/>
          <w:lang w:val="uk-UA"/>
        </w:rPr>
        <w:t>Bacteroides</w:t>
      </w:r>
      <w:proofErr w:type="spellEnd"/>
      <w:r>
        <w:rPr>
          <w:i/>
          <w:iCs/>
          <w:lang w:val="uk-UA"/>
        </w:rPr>
        <w:t xml:space="preserve">; </w:t>
      </w:r>
      <w:proofErr w:type="spellStart"/>
      <w:r>
        <w:rPr>
          <w:i/>
          <w:iCs/>
          <w:lang w:val="uk-UA"/>
        </w:rPr>
        <w:t>Clostridium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perfringens</w:t>
      </w:r>
      <w:proofErr w:type="spellEnd"/>
      <w:r>
        <w:rPr>
          <w:i/>
          <w:iCs/>
          <w:lang w:val="uk-UA"/>
        </w:rPr>
        <w:t xml:space="preserve">; </w:t>
      </w:r>
      <w:proofErr w:type="spellStart"/>
      <w:r>
        <w:rPr>
          <w:i/>
          <w:iCs/>
          <w:lang w:val="uk-UA"/>
        </w:rPr>
        <w:t>Fusobacterium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sрр</w:t>
      </w:r>
      <w:proofErr w:type="spellEnd"/>
      <w:r>
        <w:rPr>
          <w:i/>
          <w:iCs/>
          <w:lang w:val="uk-UA"/>
        </w:rPr>
        <w:t xml:space="preserve">.; </w:t>
      </w:r>
      <w:proofErr w:type="spellStart"/>
      <w:r>
        <w:rPr>
          <w:i/>
          <w:iCs/>
          <w:lang w:val="uk-UA"/>
        </w:rPr>
        <w:t>Моbiluncus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sрр</w:t>
      </w:r>
      <w:proofErr w:type="spellEnd"/>
      <w:r>
        <w:rPr>
          <w:i/>
          <w:iCs/>
          <w:lang w:val="uk-UA"/>
        </w:rPr>
        <w:t xml:space="preserve">.; </w:t>
      </w:r>
      <w:proofErr w:type="spellStart"/>
      <w:r>
        <w:rPr>
          <w:i/>
          <w:iCs/>
          <w:lang w:val="uk-UA"/>
        </w:rPr>
        <w:t>Реptostreptococcus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sрр</w:t>
      </w:r>
      <w:proofErr w:type="spellEnd"/>
      <w:r>
        <w:rPr>
          <w:i/>
          <w:iCs/>
          <w:lang w:val="uk-UA"/>
        </w:rPr>
        <w:t xml:space="preserve">.; </w:t>
      </w:r>
      <w:proofErr w:type="spellStart"/>
      <w:r>
        <w:rPr>
          <w:i/>
          <w:iCs/>
          <w:lang w:val="uk-UA"/>
        </w:rPr>
        <w:t>Veillonella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sрр</w:t>
      </w:r>
      <w:proofErr w:type="spellEnd"/>
      <w:r>
        <w:rPr>
          <w:i/>
          <w:iCs/>
          <w:lang w:val="uk-UA"/>
        </w:rPr>
        <w:t>.</w:t>
      </w:r>
    </w:p>
    <w:p w:rsidR="00121060" w:rsidRDefault="00121060" w:rsidP="00121060">
      <w:pPr>
        <w:jc w:val="both"/>
        <w:rPr>
          <w:lang w:val="uk-UA"/>
        </w:rPr>
      </w:pPr>
      <w:r>
        <w:rPr>
          <w:lang w:val="uk-UA"/>
        </w:rPr>
        <w:t xml:space="preserve">Більшість штамів ентерококів і стафілококи, які резистентні до </w:t>
      </w:r>
      <w:proofErr w:type="spellStart"/>
      <w:r>
        <w:rPr>
          <w:lang w:val="uk-UA"/>
        </w:rPr>
        <w:t>метициліну</w:t>
      </w:r>
      <w:proofErr w:type="spellEnd"/>
      <w:r>
        <w:rPr>
          <w:lang w:val="uk-UA"/>
        </w:rPr>
        <w:t xml:space="preserve">, резистентні також до більшості </w:t>
      </w:r>
      <w:proofErr w:type="spellStart"/>
      <w:r>
        <w:rPr>
          <w:lang w:val="uk-UA"/>
        </w:rPr>
        <w:t>цефалоспоринових</w:t>
      </w:r>
      <w:proofErr w:type="spellEnd"/>
      <w:r>
        <w:rPr>
          <w:lang w:val="uk-UA"/>
        </w:rPr>
        <w:t xml:space="preserve"> антибіотиків, включаючи </w:t>
      </w:r>
      <w:proofErr w:type="spellStart"/>
      <w:r>
        <w:rPr>
          <w:lang w:val="uk-UA"/>
        </w:rPr>
        <w:t>цефепім</w:t>
      </w:r>
      <w:proofErr w:type="spellEnd"/>
      <w:r>
        <w:rPr>
          <w:lang w:val="uk-UA"/>
        </w:rPr>
        <w:t>.</w:t>
      </w:r>
    </w:p>
    <w:p w:rsidR="00121060" w:rsidRDefault="00121060" w:rsidP="00121060">
      <w:pPr>
        <w:jc w:val="both"/>
        <w:rPr>
          <w:lang w:val="uk-UA"/>
        </w:rPr>
      </w:pPr>
      <w:proofErr w:type="spellStart"/>
      <w:r>
        <w:rPr>
          <w:lang w:val="uk-UA"/>
        </w:rPr>
        <w:t>Цефепім</w:t>
      </w:r>
      <w:proofErr w:type="spellEnd"/>
      <w:r>
        <w:rPr>
          <w:lang w:val="uk-UA"/>
        </w:rPr>
        <w:t xml:space="preserve"> неактивний відносно деяких штамів </w:t>
      </w:r>
      <w:proofErr w:type="spellStart"/>
      <w:r>
        <w:rPr>
          <w:i/>
          <w:iCs/>
          <w:lang w:val="uk-UA"/>
        </w:rPr>
        <w:t>Xanthomonas</w:t>
      </w:r>
      <w:proofErr w:type="spellEnd"/>
      <w:r>
        <w:rPr>
          <w:i/>
          <w:iCs/>
          <w:lang w:val="uk-UA"/>
        </w:rPr>
        <w:t xml:space="preserve"> (</w:t>
      </w:r>
      <w:proofErr w:type="spellStart"/>
      <w:r>
        <w:rPr>
          <w:i/>
          <w:iCs/>
          <w:lang w:val="uk-UA"/>
        </w:rPr>
        <w:t>Pseudomonas</w:t>
      </w:r>
      <w:proofErr w:type="spellEnd"/>
      <w:r>
        <w:rPr>
          <w:i/>
          <w:iCs/>
          <w:lang w:val="uk-UA"/>
        </w:rPr>
        <w:t xml:space="preserve">) </w:t>
      </w:r>
      <w:proofErr w:type="spellStart"/>
      <w:r>
        <w:rPr>
          <w:i/>
          <w:iCs/>
          <w:lang w:val="uk-UA"/>
        </w:rPr>
        <w:t>maltophilia</w:t>
      </w:r>
      <w:proofErr w:type="spellEnd"/>
      <w:r>
        <w:rPr>
          <w:i/>
          <w:iCs/>
          <w:lang w:val="uk-UA"/>
        </w:rPr>
        <w:t xml:space="preserve">, </w:t>
      </w:r>
      <w:proofErr w:type="spellStart"/>
      <w:r>
        <w:rPr>
          <w:i/>
          <w:iCs/>
          <w:lang w:val="uk-UA"/>
        </w:rPr>
        <w:t>Bacteroides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fragilis</w:t>
      </w:r>
      <w:proofErr w:type="spellEnd"/>
      <w:r>
        <w:rPr>
          <w:i/>
          <w:iCs/>
          <w:lang w:val="uk-UA"/>
        </w:rPr>
        <w:t xml:space="preserve"> </w:t>
      </w:r>
      <w:r>
        <w:rPr>
          <w:lang w:val="uk-UA"/>
        </w:rPr>
        <w:t xml:space="preserve">і </w:t>
      </w:r>
      <w:proofErr w:type="spellStart"/>
      <w:r>
        <w:rPr>
          <w:i/>
          <w:iCs/>
          <w:lang w:val="uk-UA"/>
        </w:rPr>
        <w:t>Clostridium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difficile</w:t>
      </w:r>
      <w:proofErr w:type="spellEnd"/>
      <w:r>
        <w:rPr>
          <w:lang w:val="uk-UA"/>
        </w:rPr>
        <w:t>.</w:t>
      </w:r>
    </w:p>
    <w:p w:rsidR="00121060" w:rsidRDefault="00121060" w:rsidP="00121060">
      <w:pPr>
        <w:jc w:val="both"/>
        <w:rPr>
          <w:i/>
          <w:iCs/>
          <w:lang w:val="uk-UA"/>
        </w:rPr>
      </w:pPr>
    </w:p>
    <w:p w:rsidR="00121060" w:rsidRDefault="00121060" w:rsidP="00121060">
      <w:pPr>
        <w:jc w:val="both"/>
        <w:rPr>
          <w:i/>
          <w:iCs/>
          <w:lang w:val="uk-UA"/>
        </w:rPr>
      </w:pPr>
      <w:r>
        <w:rPr>
          <w:i/>
          <w:iCs/>
          <w:lang w:val="uk-UA"/>
        </w:rPr>
        <w:t>Фармакокінетика.</w:t>
      </w:r>
    </w:p>
    <w:p w:rsidR="00121060" w:rsidRDefault="00121060" w:rsidP="00121060">
      <w:pPr>
        <w:jc w:val="both"/>
        <w:rPr>
          <w:lang w:val="uk-UA"/>
        </w:rPr>
      </w:pPr>
      <w:r>
        <w:rPr>
          <w:lang w:val="uk-UA"/>
        </w:rPr>
        <w:lastRenderedPageBreak/>
        <w:t xml:space="preserve">Максимальна концентрація препарату у плазмі крові при внутрішньовенному введенні  досягається через 0,5 години, при </w:t>
      </w:r>
      <w:proofErr w:type="spellStart"/>
      <w:r>
        <w:rPr>
          <w:lang w:val="uk-UA"/>
        </w:rPr>
        <w:t>внутрішньом’язовому</w:t>
      </w:r>
      <w:proofErr w:type="spellEnd"/>
      <w:r>
        <w:rPr>
          <w:lang w:val="uk-UA"/>
        </w:rPr>
        <w:t xml:space="preserve"> введенні — через 2 години (доза 1 г).</w:t>
      </w:r>
    </w:p>
    <w:p w:rsidR="00121060" w:rsidRDefault="00121060" w:rsidP="00121060">
      <w:pPr>
        <w:jc w:val="both"/>
        <w:rPr>
          <w:lang w:val="uk-UA"/>
        </w:rPr>
      </w:pPr>
      <w:r>
        <w:rPr>
          <w:lang w:val="uk-UA"/>
        </w:rPr>
        <w:t xml:space="preserve">Середні терапевтичні концентрації </w:t>
      </w:r>
      <w:proofErr w:type="spellStart"/>
      <w:r>
        <w:rPr>
          <w:lang w:val="uk-UA"/>
        </w:rPr>
        <w:t>цефепіму</w:t>
      </w:r>
      <w:proofErr w:type="spellEnd"/>
      <w:r>
        <w:rPr>
          <w:lang w:val="uk-UA"/>
        </w:rPr>
        <w:t xml:space="preserve"> у плазмі крові у дорослих здорових чоловіків через різний час після одноразового внутрішньовенного (в/в) та </w:t>
      </w:r>
      <w:proofErr w:type="spellStart"/>
      <w:r>
        <w:rPr>
          <w:lang w:val="uk-UA"/>
        </w:rPr>
        <w:t>внутрішньом’язового</w:t>
      </w:r>
      <w:proofErr w:type="spellEnd"/>
      <w:r>
        <w:rPr>
          <w:lang w:val="uk-UA"/>
        </w:rPr>
        <w:t xml:space="preserve"> (в/м) введення наведені у таблиці 1. </w:t>
      </w:r>
    </w:p>
    <w:p w:rsidR="00121060" w:rsidRDefault="00121060" w:rsidP="00121060">
      <w:pPr>
        <w:jc w:val="right"/>
        <w:rPr>
          <w:lang w:val="uk-UA"/>
        </w:rPr>
      </w:pPr>
      <w:r>
        <w:rPr>
          <w:lang w:val="uk-UA"/>
        </w:rPr>
        <w:t>Таблиця 1</w:t>
      </w:r>
    </w:p>
    <w:tbl>
      <w:tblPr>
        <w:tblW w:w="4924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ook w:val="04A0" w:firstRow="1" w:lastRow="0" w:firstColumn="1" w:lastColumn="0" w:noHBand="0" w:noVBand="1"/>
      </w:tblPr>
      <w:tblGrid>
        <w:gridCol w:w="1723"/>
        <w:gridCol w:w="1526"/>
        <w:gridCol w:w="1312"/>
        <w:gridCol w:w="1525"/>
        <w:gridCol w:w="1311"/>
        <w:gridCol w:w="1311"/>
        <w:gridCol w:w="1326"/>
      </w:tblGrid>
      <w:tr w:rsidR="00121060" w:rsidTr="00F86B47">
        <w:trPr>
          <w:tblCellSpacing w:w="15" w:type="dxa"/>
        </w:trPr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Доза </w:t>
            </w:r>
            <w:proofErr w:type="spellStart"/>
            <w:r>
              <w:rPr>
                <w:lang w:val="uk-UA"/>
              </w:rPr>
              <w:t>цефепіму</w:t>
            </w:r>
            <w:proofErr w:type="spellEnd"/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 години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година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години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години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 годин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 годин</w:t>
            </w:r>
          </w:p>
        </w:tc>
      </w:tr>
      <w:tr w:rsidR="00121060" w:rsidTr="00F86B47">
        <w:trPr>
          <w:tblCellSpacing w:w="15" w:type="dxa"/>
        </w:trPr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500 мг в/в 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38,2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21,6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11,6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1,4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</w:tr>
      <w:tr w:rsidR="00121060" w:rsidTr="00F86B47">
        <w:trPr>
          <w:tblCellSpacing w:w="15" w:type="dxa"/>
        </w:trPr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500 мг в/м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8,2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12,5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12,0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6,9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1,9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0,7</w:t>
            </w:r>
          </w:p>
        </w:tc>
      </w:tr>
      <w:tr w:rsidR="00121060" w:rsidTr="00F86B47">
        <w:trPr>
          <w:tblCellSpacing w:w="15" w:type="dxa"/>
        </w:trPr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1000 мг в/в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</w:tr>
      <w:tr w:rsidR="00121060" w:rsidTr="00F86B47">
        <w:trPr>
          <w:tblCellSpacing w:w="15" w:type="dxa"/>
        </w:trPr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1000  мг в/м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1,4</w:t>
            </w:r>
          </w:p>
        </w:tc>
      </w:tr>
    </w:tbl>
    <w:p w:rsidR="00121060" w:rsidRDefault="00121060" w:rsidP="00121060">
      <w:pPr>
        <w:jc w:val="both"/>
        <w:rPr>
          <w:lang w:val="uk-UA"/>
        </w:rPr>
      </w:pPr>
    </w:p>
    <w:p w:rsidR="00121060" w:rsidRDefault="00121060" w:rsidP="00121060">
      <w:pPr>
        <w:jc w:val="both"/>
        <w:rPr>
          <w:lang w:val="uk-UA"/>
        </w:rPr>
      </w:pPr>
      <w:r>
        <w:rPr>
          <w:lang w:val="uk-UA"/>
        </w:rPr>
        <w:t xml:space="preserve">Зв’язування </w:t>
      </w:r>
      <w:proofErr w:type="spellStart"/>
      <w:r>
        <w:rPr>
          <w:lang w:val="uk-UA"/>
        </w:rPr>
        <w:t>цефепіму</w:t>
      </w:r>
      <w:proofErr w:type="spellEnd"/>
      <w:r>
        <w:rPr>
          <w:lang w:val="uk-UA"/>
        </w:rPr>
        <w:t xml:space="preserve"> з білками плазми крові становить менше 19 % і не залежить від концентрації препарату в сироватці крові. Він погано проникає крізь неушкоджений </w:t>
      </w:r>
      <w:proofErr w:type="spellStart"/>
      <w:r>
        <w:rPr>
          <w:lang w:val="uk-UA"/>
        </w:rPr>
        <w:t>гематоенцефалічний</w:t>
      </w:r>
      <w:proofErr w:type="spellEnd"/>
      <w:r>
        <w:rPr>
          <w:lang w:val="uk-UA"/>
        </w:rPr>
        <w:t xml:space="preserve"> бар’єр. Але при запаленні мозкових оболонок виявляється у терапевтичних концентраціях у спинномозковій рідині. Значні концентрації </w:t>
      </w:r>
      <w:proofErr w:type="spellStart"/>
      <w:r>
        <w:rPr>
          <w:lang w:val="uk-UA"/>
        </w:rPr>
        <w:t>цефепіму</w:t>
      </w:r>
      <w:proofErr w:type="spellEnd"/>
      <w:r>
        <w:rPr>
          <w:lang w:val="uk-UA"/>
        </w:rPr>
        <w:t xml:space="preserve"> визначаються у сечі, жовчі, перитонеальній рідині, бронхіальному секреті, тканинах жовчного міхура, апендикса та передміхурової залози. Об’єм розподілу — 0,25 л/кг, у дітей віком від 2 місяців до 16 років — 0,33 л/кг. </w:t>
      </w:r>
      <w:proofErr w:type="spellStart"/>
      <w:r>
        <w:rPr>
          <w:lang w:val="uk-UA"/>
        </w:rPr>
        <w:t>Цефепім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метаболізується</w:t>
      </w:r>
      <w:proofErr w:type="spellEnd"/>
      <w:r>
        <w:rPr>
          <w:lang w:val="uk-UA"/>
        </w:rPr>
        <w:t xml:space="preserve"> в N-</w:t>
      </w:r>
      <w:proofErr w:type="spellStart"/>
      <w:r>
        <w:rPr>
          <w:lang w:val="uk-UA"/>
        </w:rPr>
        <w:t>метилпіролідин</w:t>
      </w:r>
      <w:proofErr w:type="spellEnd"/>
      <w:r>
        <w:rPr>
          <w:lang w:val="uk-UA"/>
        </w:rPr>
        <w:t>, який швидко перетворюється в оксид N-</w:t>
      </w:r>
      <w:proofErr w:type="spellStart"/>
      <w:r>
        <w:rPr>
          <w:lang w:val="uk-UA"/>
        </w:rPr>
        <w:t>метилпіролідину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Цефепім</w:t>
      </w:r>
      <w:proofErr w:type="spellEnd"/>
      <w:r>
        <w:rPr>
          <w:lang w:val="uk-UA"/>
        </w:rPr>
        <w:t xml:space="preserve"> виділяється головним чином шляхом </w:t>
      </w:r>
      <w:proofErr w:type="spellStart"/>
      <w:r>
        <w:rPr>
          <w:lang w:val="uk-UA"/>
        </w:rPr>
        <w:t>гломерулярної</w:t>
      </w:r>
      <w:proofErr w:type="spellEnd"/>
      <w:r>
        <w:rPr>
          <w:lang w:val="uk-UA"/>
        </w:rPr>
        <w:t xml:space="preserve"> фільтрації (загальний кліренс </w:t>
      </w:r>
      <w:proofErr w:type="spellStart"/>
      <w:r>
        <w:rPr>
          <w:lang w:val="uk-UA"/>
        </w:rPr>
        <w:t>цефепіму</w:t>
      </w:r>
      <w:proofErr w:type="spellEnd"/>
      <w:r>
        <w:rPr>
          <w:lang w:val="uk-UA"/>
        </w:rPr>
        <w:t xml:space="preserve"> становить приблизно 120 мл/хв, середній нирковий кліренс — 110 мл/хв). У сечі визначається приблизно 85 % введеної дози у незміненому стані, 1 % — у вигляді N-</w:t>
      </w:r>
      <w:proofErr w:type="spellStart"/>
      <w:r>
        <w:rPr>
          <w:lang w:val="uk-UA"/>
        </w:rPr>
        <w:t>метилпіролідину</w:t>
      </w:r>
      <w:proofErr w:type="spellEnd"/>
      <w:r>
        <w:rPr>
          <w:lang w:val="uk-UA"/>
        </w:rPr>
        <w:t>, приблизно 6,8 % — оксиду N-</w:t>
      </w:r>
      <w:proofErr w:type="spellStart"/>
      <w:r>
        <w:rPr>
          <w:lang w:val="uk-UA"/>
        </w:rPr>
        <w:t>метилпіролідину</w:t>
      </w:r>
      <w:proofErr w:type="spellEnd"/>
      <w:r>
        <w:rPr>
          <w:lang w:val="uk-UA"/>
        </w:rPr>
        <w:t xml:space="preserve"> та приблизно 2,5 % — </w:t>
      </w:r>
      <w:proofErr w:type="spellStart"/>
      <w:r>
        <w:rPr>
          <w:lang w:val="uk-UA"/>
        </w:rPr>
        <w:t>епімеру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цефепіму</w:t>
      </w:r>
      <w:proofErr w:type="spellEnd"/>
      <w:r>
        <w:rPr>
          <w:lang w:val="uk-UA"/>
        </w:rPr>
        <w:t xml:space="preserve">. Період </w:t>
      </w:r>
      <w:proofErr w:type="spellStart"/>
      <w:r>
        <w:rPr>
          <w:lang w:val="uk-UA"/>
        </w:rPr>
        <w:t>напіввиведення</w:t>
      </w:r>
      <w:proofErr w:type="spellEnd"/>
      <w:r>
        <w:rPr>
          <w:lang w:val="uk-UA"/>
        </w:rPr>
        <w:t xml:space="preserve"> у середньому становить приблизно 2 години. У добровольців, які одержували дози до 2 г внутрішньовенно з інтервалом 8 годин протягом 9 днів, не спостерігалося кумуляції препарату в організмі.</w:t>
      </w:r>
    </w:p>
    <w:p w:rsidR="00121060" w:rsidRDefault="00121060" w:rsidP="00121060">
      <w:pPr>
        <w:jc w:val="both"/>
        <w:rPr>
          <w:lang w:val="uk-UA"/>
        </w:rPr>
      </w:pPr>
      <w:r>
        <w:rPr>
          <w:lang w:val="uk-UA"/>
        </w:rPr>
        <w:t xml:space="preserve">Для пацієнтів віком від 65 років з нормальною функцією нирок не потрібне коригування дози </w:t>
      </w:r>
      <w:proofErr w:type="spellStart"/>
      <w:r>
        <w:rPr>
          <w:lang w:val="uk-UA"/>
        </w:rPr>
        <w:t>цефепіму</w:t>
      </w:r>
      <w:proofErr w:type="spellEnd"/>
      <w:r>
        <w:rPr>
          <w:lang w:val="uk-UA"/>
        </w:rPr>
        <w:t xml:space="preserve">, незважаючи на меншу величину ниркового кліренсу порівняно з таким у молодих пацієнтів. У пацієнтів з порушеннями функцій нирок збільшується період </w:t>
      </w:r>
      <w:proofErr w:type="spellStart"/>
      <w:r>
        <w:rPr>
          <w:lang w:val="uk-UA"/>
        </w:rPr>
        <w:t>напіввиведення</w:t>
      </w:r>
      <w:proofErr w:type="spellEnd"/>
      <w:r>
        <w:rPr>
          <w:lang w:val="uk-UA"/>
        </w:rPr>
        <w:t xml:space="preserve">. У середньому період </w:t>
      </w:r>
      <w:proofErr w:type="spellStart"/>
      <w:r>
        <w:rPr>
          <w:lang w:val="uk-UA"/>
        </w:rPr>
        <w:t>напіввиведення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цефепіму</w:t>
      </w:r>
      <w:proofErr w:type="spellEnd"/>
      <w:r>
        <w:rPr>
          <w:lang w:val="uk-UA"/>
        </w:rPr>
        <w:t xml:space="preserve"> при проведенні гемодіалізу становить 13 годин, при проведенні перитонеального діалізу — 19 годин. Фармакокінетика </w:t>
      </w:r>
      <w:proofErr w:type="spellStart"/>
      <w:r>
        <w:rPr>
          <w:lang w:val="uk-UA"/>
        </w:rPr>
        <w:t>цефепіму</w:t>
      </w:r>
      <w:proofErr w:type="spellEnd"/>
      <w:r>
        <w:rPr>
          <w:lang w:val="uk-UA"/>
        </w:rPr>
        <w:t xml:space="preserve"> у пацієнтів з порушеннями функції печінки не змінена. Коригувати дозу для таких пацієнтів не потрібно.</w:t>
      </w:r>
    </w:p>
    <w:p w:rsidR="00121060" w:rsidRDefault="00121060" w:rsidP="00121060">
      <w:pPr>
        <w:shd w:val="clear" w:color="auto" w:fill="FFFFFF"/>
        <w:spacing w:line="274" w:lineRule="exact"/>
        <w:jc w:val="both"/>
        <w:rPr>
          <w:b/>
          <w:bCs/>
          <w:spacing w:val="-1"/>
          <w:lang w:val="uk-UA"/>
        </w:rPr>
      </w:pPr>
    </w:p>
    <w:p w:rsidR="00121060" w:rsidRDefault="00121060" w:rsidP="00121060">
      <w:pPr>
        <w:shd w:val="clear" w:color="auto" w:fill="FFFFFF"/>
        <w:spacing w:line="274" w:lineRule="exact"/>
        <w:jc w:val="both"/>
        <w:rPr>
          <w:lang w:val="uk-UA"/>
        </w:rPr>
      </w:pPr>
      <w:r>
        <w:rPr>
          <w:b/>
          <w:bCs/>
          <w:spacing w:val="-1"/>
          <w:lang w:val="uk-UA"/>
        </w:rPr>
        <w:t>Клінічні характеристики.</w:t>
      </w:r>
    </w:p>
    <w:p w:rsidR="00121060" w:rsidRDefault="00121060" w:rsidP="00121060">
      <w:pPr>
        <w:shd w:val="clear" w:color="auto" w:fill="FFFFFF"/>
        <w:spacing w:line="274" w:lineRule="exact"/>
        <w:jc w:val="both"/>
        <w:rPr>
          <w:b/>
          <w:bCs/>
          <w:i/>
          <w:iCs/>
          <w:spacing w:val="-3"/>
          <w:lang w:val="uk-UA"/>
        </w:rPr>
      </w:pPr>
      <w:r>
        <w:rPr>
          <w:b/>
          <w:bCs/>
          <w:i/>
          <w:iCs/>
          <w:spacing w:val="-3"/>
          <w:lang w:val="uk-UA"/>
        </w:rPr>
        <w:t>Показання.</w:t>
      </w:r>
    </w:p>
    <w:p w:rsidR="00121060" w:rsidRDefault="00121060" w:rsidP="00121060">
      <w:pPr>
        <w:shd w:val="clear" w:color="auto" w:fill="FFFFFF"/>
        <w:spacing w:line="274" w:lineRule="exact"/>
        <w:jc w:val="both"/>
        <w:rPr>
          <w:lang w:val="uk-UA"/>
        </w:rPr>
      </w:pPr>
      <w:r>
        <w:rPr>
          <w:bCs/>
          <w:i/>
          <w:iCs/>
          <w:spacing w:val="-3"/>
          <w:lang w:val="uk-UA"/>
        </w:rPr>
        <w:t>Дорослі.</w:t>
      </w:r>
    </w:p>
    <w:p w:rsidR="00121060" w:rsidRDefault="00121060" w:rsidP="00121060">
      <w:pPr>
        <w:jc w:val="both"/>
        <w:rPr>
          <w:lang w:val="uk-UA"/>
        </w:rPr>
      </w:pPr>
      <w:r>
        <w:rPr>
          <w:lang w:val="uk-UA"/>
        </w:rPr>
        <w:t xml:space="preserve">Інфекції, спричинені чутливою до </w:t>
      </w:r>
      <w:proofErr w:type="spellStart"/>
      <w:r>
        <w:rPr>
          <w:lang w:val="uk-UA"/>
        </w:rPr>
        <w:t>цефепіму</w:t>
      </w:r>
      <w:proofErr w:type="spellEnd"/>
      <w:r>
        <w:rPr>
          <w:lang w:val="uk-UA"/>
        </w:rPr>
        <w:t xml:space="preserve"> мікрофлорою:</w:t>
      </w:r>
    </w:p>
    <w:p w:rsidR="00121060" w:rsidRDefault="00121060" w:rsidP="00121060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- інфекції дихальних шляхів, в тому числі пневмонія;</w:t>
      </w:r>
    </w:p>
    <w:p w:rsidR="00121060" w:rsidRDefault="00121060" w:rsidP="00121060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- неускладнені інфекції шкіри та підшкірної клітковини;</w:t>
      </w:r>
    </w:p>
    <w:p w:rsidR="00121060" w:rsidRDefault="00121060" w:rsidP="00121060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- ускладнені </w:t>
      </w:r>
      <w:proofErr w:type="spellStart"/>
      <w:r>
        <w:rPr>
          <w:lang w:val="uk-UA"/>
        </w:rPr>
        <w:t>інтраабдомінальні</w:t>
      </w:r>
      <w:proofErr w:type="spellEnd"/>
      <w:r>
        <w:rPr>
          <w:lang w:val="uk-UA"/>
        </w:rPr>
        <w:t xml:space="preserve"> інфекції (застосовується в комбінації з </w:t>
      </w:r>
      <w:proofErr w:type="spellStart"/>
      <w:r>
        <w:rPr>
          <w:lang w:val="uk-UA"/>
        </w:rPr>
        <w:t>метронідазолом</w:t>
      </w:r>
      <w:proofErr w:type="spellEnd"/>
      <w:r>
        <w:rPr>
          <w:lang w:val="uk-UA"/>
        </w:rPr>
        <w:t>);</w:t>
      </w:r>
    </w:p>
    <w:p w:rsidR="00121060" w:rsidRDefault="00121060" w:rsidP="00121060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spacing w:before="5"/>
        <w:jc w:val="both"/>
        <w:rPr>
          <w:lang w:val="uk-UA"/>
        </w:rPr>
      </w:pPr>
      <w:r>
        <w:rPr>
          <w:lang w:val="uk-UA"/>
        </w:rPr>
        <w:t>- неускладнені та ускладнені інфекції сечовивідних шляхів (в тому числі пієлонефрит);</w:t>
      </w:r>
    </w:p>
    <w:p w:rsidR="00121060" w:rsidRDefault="00121060" w:rsidP="00121060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spacing w:before="5"/>
        <w:jc w:val="both"/>
        <w:rPr>
          <w:lang w:val="uk-UA"/>
        </w:rPr>
      </w:pPr>
      <w:r>
        <w:rPr>
          <w:lang w:val="uk-UA"/>
        </w:rPr>
        <w:t>- септицемія.</w:t>
      </w:r>
    </w:p>
    <w:p w:rsidR="00121060" w:rsidRDefault="00121060" w:rsidP="00121060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Для емпіричної терапії хворих із </w:t>
      </w:r>
      <w:proofErr w:type="spellStart"/>
      <w:r>
        <w:rPr>
          <w:lang w:val="uk-UA"/>
        </w:rPr>
        <w:t>нейтропенічною</w:t>
      </w:r>
      <w:proofErr w:type="spellEnd"/>
      <w:r>
        <w:rPr>
          <w:lang w:val="uk-UA"/>
        </w:rPr>
        <w:t xml:space="preserve"> гарячкою.</w:t>
      </w:r>
    </w:p>
    <w:p w:rsidR="00121060" w:rsidRDefault="00121060" w:rsidP="00121060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Для профілактики післяопераційних ускладнень в </w:t>
      </w:r>
      <w:proofErr w:type="spellStart"/>
      <w:r>
        <w:rPr>
          <w:lang w:val="uk-UA"/>
        </w:rPr>
        <w:t>інтраабдомінальній</w:t>
      </w:r>
      <w:proofErr w:type="spellEnd"/>
      <w:r>
        <w:rPr>
          <w:lang w:val="uk-UA"/>
        </w:rPr>
        <w:t xml:space="preserve"> хірургії.</w:t>
      </w:r>
    </w:p>
    <w:p w:rsidR="00121060" w:rsidRDefault="00121060" w:rsidP="00121060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i/>
          <w:lang w:val="uk-UA"/>
        </w:rPr>
      </w:pPr>
      <w:r>
        <w:rPr>
          <w:i/>
          <w:lang w:val="uk-UA"/>
        </w:rPr>
        <w:t>Діти.</w:t>
      </w:r>
    </w:p>
    <w:p w:rsidR="00121060" w:rsidRDefault="00121060" w:rsidP="00121060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Пневмонія.</w:t>
      </w:r>
    </w:p>
    <w:p w:rsidR="00121060" w:rsidRDefault="00121060" w:rsidP="00121060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Інфекції сечовивідних шляхів, у тому числі пієлонефрит.</w:t>
      </w:r>
    </w:p>
    <w:p w:rsidR="00121060" w:rsidRDefault="00121060" w:rsidP="00121060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Інфекції шкіри та підшкірної клітковини.</w:t>
      </w:r>
    </w:p>
    <w:p w:rsidR="00121060" w:rsidRDefault="00121060" w:rsidP="00121060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Для емпіричної терапії хворих із </w:t>
      </w:r>
      <w:proofErr w:type="spellStart"/>
      <w:r>
        <w:rPr>
          <w:lang w:val="uk-UA"/>
        </w:rPr>
        <w:t>нейтропенічною</w:t>
      </w:r>
      <w:proofErr w:type="spellEnd"/>
      <w:r>
        <w:rPr>
          <w:lang w:val="uk-UA"/>
        </w:rPr>
        <w:t xml:space="preserve"> гарячкою.</w:t>
      </w:r>
    </w:p>
    <w:p w:rsidR="00121060" w:rsidRDefault="00121060" w:rsidP="00121060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Бактеріальний менінгіт.</w:t>
      </w:r>
    </w:p>
    <w:p w:rsidR="00121060" w:rsidRDefault="00121060" w:rsidP="00121060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lang w:val="uk-UA"/>
        </w:rPr>
      </w:pPr>
    </w:p>
    <w:p w:rsidR="00121060" w:rsidRDefault="00121060" w:rsidP="00121060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i/>
          <w:iCs/>
          <w:spacing w:val="-2"/>
          <w:lang w:val="uk-UA"/>
        </w:rPr>
        <w:t>Протипоказання.</w:t>
      </w:r>
    </w:p>
    <w:p w:rsidR="00121060" w:rsidRDefault="00121060" w:rsidP="00121060">
      <w:pPr>
        <w:jc w:val="both"/>
        <w:rPr>
          <w:lang w:val="uk-UA"/>
        </w:rPr>
      </w:pPr>
      <w:r>
        <w:rPr>
          <w:lang w:val="uk-UA"/>
        </w:rPr>
        <w:lastRenderedPageBreak/>
        <w:t xml:space="preserve">Підвищена чутливість до </w:t>
      </w:r>
      <w:proofErr w:type="spellStart"/>
      <w:r>
        <w:rPr>
          <w:lang w:val="uk-UA"/>
        </w:rPr>
        <w:t>цефепіму</w:t>
      </w:r>
      <w:proofErr w:type="spellEnd"/>
      <w:r>
        <w:rPr>
          <w:lang w:val="uk-UA"/>
        </w:rPr>
        <w:t xml:space="preserve"> або L-аргініну, а також до антибіотиків </w:t>
      </w:r>
      <w:proofErr w:type="spellStart"/>
      <w:r>
        <w:rPr>
          <w:lang w:val="uk-UA"/>
        </w:rPr>
        <w:t>цефалоспоринового</w:t>
      </w:r>
      <w:proofErr w:type="spellEnd"/>
      <w:r>
        <w:rPr>
          <w:lang w:val="uk-UA"/>
        </w:rPr>
        <w:t xml:space="preserve"> ряду, пеніцилінів та інших β-</w:t>
      </w:r>
      <w:proofErr w:type="spellStart"/>
      <w:r>
        <w:rPr>
          <w:lang w:val="uk-UA"/>
        </w:rPr>
        <w:t>лактамних</w:t>
      </w:r>
      <w:proofErr w:type="spellEnd"/>
      <w:r>
        <w:rPr>
          <w:lang w:val="uk-UA"/>
        </w:rPr>
        <w:t xml:space="preserve"> антибіотиків.</w:t>
      </w:r>
    </w:p>
    <w:p w:rsidR="00121060" w:rsidRDefault="00121060" w:rsidP="00121060">
      <w:pPr>
        <w:jc w:val="both"/>
        <w:rPr>
          <w:lang w:val="uk-UA"/>
        </w:rPr>
      </w:pPr>
    </w:p>
    <w:p w:rsidR="00121060" w:rsidRDefault="00121060" w:rsidP="00121060">
      <w:pPr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Взаємодія з іншими лікарськими засобами та інші види взаємодій.</w:t>
      </w:r>
    </w:p>
    <w:p w:rsidR="00121060" w:rsidRDefault="00121060" w:rsidP="00121060">
      <w:pPr>
        <w:jc w:val="both"/>
        <w:rPr>
          <w:lang w:val="uk-UA"/>
        </w:rPr>
      </w:pPr>
      <w:proofErr w:type="spellStart"/>
      <w:r>
        <w:rPr>
          <w:lang w:val="uk-UA"/>
        </w:rPr>
        <w:t>Цефепім</w:t>
      </w:r>
      <w:proofErr w:type="spellEnd"/>
      <w:r>
        <w:rPr>
          <w:lang w:val="uk-UA"/>
        </w:rPr>
        <w:t xml:space="preserve"> у концентрації від 1 до 40 мг/мл сумісний з такими </w:t>
      </w:r>
      <w:proofErr w:type="spellStart"/>
      <w:r>
        <w:rPr>
          <w:lang w:val="uk-UA"/>
        </w:rPr>
        <w:t>парентеральними</w:t>
      </w:r>
      <w:proofErr w:type="spellEnd"/>
      <w:r>
        <w:rPr>
          <w:lang w:val="uk-UA"/>
        </w:rPr>
        <w:t xml:space="preserve"> розчинами: 0,9 % розчин натрію хлориду для ін’єкцій; 5 і 10 % розчин глюкози для ін’єкцій; розчин 6 М натрію лактату для ін’єкцій: розчин 5 % глюкози і 0,9 % натрію хлориду для ін’єкцій; розчин </w:t>
      </w:r>
      <w:proofErr w:type="spellStart"/>
      <w:r>
        <w:rPr>
          <w:lang w:val="uk-UA"/>
        </w:rPr>
        <w:t>Рінгера</w:t>
      </w:r>
      <w:proofErr w:type="spellEnd"/>
      <w:r>
        <w:rPr>
          <w:lang w:val="uk-UA"/>
        </w:rPr>
        <w:t xml:space="preserve"> з лактатом і 5 % розчин глюкози для ін’єкцій.</w:t>
      </w:r>
    </w:p>
    <w:p w:rsidR="00121060" w:rsidRDefault="00121060" w:rsidP="00121060">
      <w:pPr>
        <w:jc w:val="both"/>
        <w:rPr>
          <w:lang w:val="uk-UA"/>
        </w:rPr>
      </w:pPr>
      <w:r>
        <w:rPr>
          <w:lang w:val="uk-UA"/>
        </w:rPr>
        <w:t xml:space="preserve">Щоб уникнути можливої лікарської взаємодії, не слід одночасно вводити лікарський засіб з розчинами </w:t>
      </w:r>
      <w:proofErr w:type="spellStart"/>
      <w:r>
        <w:rPr>
          <w:lang w:val="uk-UA"/>
        </w:rPr>
        <w:t>метронідазолу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ванкоміцину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гентаміцину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тобраміцину</w:t>
      </w:r>
      <w:proofErr w:type="spellEnd"/>
      <w:r>
        <w:rPr>
          <w:lang w:val="uk-UA"/>
        </w:rPr>
        <w:t xml:space="preserve"> сульфату і </w:t>
      </w:r>
      <w:proofErr w:type="spellStart"/>
      <w:r>
        <w:rPr>
          <w:lang w:val="uk-UA"/>
        </w:rPr>
        <w:t>нетилміцину</w:t>
      </w:r>
      <w:proofErr w:type="spellEnd"/>
      <w:r>
        <w:rPr>
          <w:lang w:val="uk-UA"/>
        </w:rPr>
        <w:t xml:space="preserve"> сульфату. У разі сумісного застосування із зазначеними препаратами слід вводити кожен антибіотик окремо.</w:t>
      </w:r>
    </w:p>
    <w:p w:rsidR="00121060" w:rsidRDefault="00121060" w:rsidP="00121060">
      <w:pPr>
        <w:jc w:val="both"/>
        <w:rPr>
          <w:lang w:val="uk-UA"/>
        </w:rPr>
      </w:pPr>
      <w:proofErr w:type="spellStart"/>
      <w:r>
        <w:rPr>
          <w:lang w:val="uk-UA"/>
        </w:rPr>
        <w:t>Діуретики</w:t>
      </w:r>
      <w:proofErr w:type="spellEnd"/>
      <w:r>
        <w:rPr>
          <w:lang w:val="uk-UA"/>
        </w:rPr>
        <w:t xml:space="preserve"> (такі як </w:t>
      </w:r>
      <w:proofErr w:type="spellStart"/>
      <w:r>
        <w:rPr>
          <w:lang w:val="uk-UA"/>
        </w:rPr>
        <w:t>фуросемід</w:t>
      </w:r>
      <w:proofErr w:type="spellEnd"/>
      <w:r>
        <w:rPr>
          <w:lang w:val="uk-UA"/>
        </w:rPr>
        <w:t xml:space="preserve">) та </w:t>
      </w:r>
      <w:proofErr w:type="spellStart"/>
      <w:r>
        <w:rPr>
          <w:lang w:val="uk-UA"/>
        </w:rPr>
        <w:t>аміноглікозиди</w:t>
      </w:r>
      <w:proofErr w:type="spellEnd"/>
      <w:r>
        <w:rPr>
          <w:lang w:val="uk-UA"/>
        </w:rPr>
        <w:t xml:space="preserve"> знижують </w:t>
      </w:r>
      <w:proofErr w:type="spellStart"/>
      <w:r>
        <w:rPr>
          <w:lang w:val="uk-UA"/>
        </w:rPr>
        <w:t>канальцеву</w:t>
      </w:r>
      <w:proofErr w:type="spellEnd"/>
      <w:r>
        <w:rPr>
          <w:lang w:val="uk-UA"/>
        </w:rPr>
        <w:t xml:space="preserve"> секрецію </w:t>
      </w:r>
      <w:proofErr w:type="spellStart"/>
      <w:r>
        <w:rPr>
          <w:lang w:val="uk-UA"/>
        </w:rPr>
        <w:t>цефепіму</w:t>
      </w:r>
      <w:proofErr w:type="spellEnd"/>
      <w:r>
        <w:rPr>
          <w:lang w:val="uk-UA"/>
        </w:rPr>
        <w:t xml:space="preserve"> і підвищують його концентрацію у сироватці крові, подовжують період </w:t>
      </w:r>
      <w:proofErr w:type="spellStart"/>
      <w:r>
        <w:rPr>
          <w:lang w:val="uk-UA"/>
        </w:rPr>
        <w:t>напіввиведення</w:t>
      </w:r>
      <w:proofErr w:type="spellEnd"/>
      <w:r>
        <w:rPr>
          <w:lang w:val="uk-UA"/>
        </w:rPr>
        <w:t xml:space="preserve">, посилюють </w:t>
      </w:r>
      <w:proofErr w:type="spellStart"/>
      <w:r>
        <w:rPr>
          <w:lang w:val="uk-UA"/>
        </w:rPr>
        <w:t>нефротоксичність</w:t>
      </w:r>
      <w:proofErr w:type="spellEnd"/>
      <w:r>
        <w:rPr>
          <w:lang w:val="uk-UA"/>
        </w:rPr>
        <w:t xml:space="preserve"> і підвищують ризик розвитку </w:t>
      </w:r>
      <w:proofErr w:type="spellStart"/>
      <w:r>
        <w:rPr>
          <w:lang w:val="uk-UA"/>
        </w:rPr>
        <w:t>нефронекрозу</w:t>
      </w:r>
      <w:proofErr w:type="spellEnd"/>
      <w:r>
        <w:rPr>
          <w:lang w:val="uk-UA"/>
        </w:rPr>
        <w:t xml:space="preserve">. При одночасному застосуванні </w:t>
      </w:r>
      <w:proofErr w:type="spellStart"/>
      <w:r>
        <w:rPr>
          <w:lang w:val="uk-UA"/>
        </w:rPr>
        <w:t>цефепіму</w:t>
      </w:r>
      <w:proofErr w:type="spellEnd"/>
      <w:r>
        <w:rPr>
          <w:lang w:val="uk-UA"/>
        </w:rPr>
        <w:t xml:space="preserve"> та </w:t>
      </w:r>
      <w:proofErr w:type="spellStart"/>
      <w:r>
        <w:rPr>
          <w:lang w:val="uk-UA"/>
        </w:rPr>
        <w:t>аміноглікозидів</w:t>
      </w:r>
      <w:proofErr w:type="spellEnd"/>
      <w:r>
        <w:rPr>
          <w:lang w:val="uk-UA"/>
        </w:rPr>
        <w:t xml:space="preserve"> підвищується ризик </w:t>
      </w:r>
      <w:proofErr w:type="spellStart"/>
      <w:r>
        <w:rPr>
          <w:lang w:val="uk-UA"/>
        </w:rPr>
        <w:t>ототоксичної</w:t>
      </w:r>
      <w:proofErr w:type="spellEnd"/>
      <w:r>
        <w:rPr>
          <w:lang w:val="uk-UA"/>
        </w:rPr>
        <w:t xml:space="preserve"> дії останніх.</w:t>
      </w:r>
    </w:p>
    <w:p w:rsidR="00121060" w:rsidRDefault="00121060" w:rsidP="00121060">
      <w:pPr>
        <w:jc w:val="both"/>
        <w:rPr>
          <w:i/>
          <w:iCs/>
          <w:lang w:val="uk-UA"/>
        </w:rPr>
      </w:pPr>
      <w:r>
        <w:rPr>
          <w:i/>
          <w:iCs/>
          <w:lang w:val="uk-UA"/>
        </w:rPr>
        <w:t>Вплив на результати лабораторних тестів.</w:t>
      </w:r>
    </w:p>
    <w:p w:rsidR="00121060" w:rsidRDefault="00121060" w:rsidP="00121060">
      <w:pPr>
        <w:jc w:val="both"/>
        <w:rPr>
          <w:lang w:val="uk-UA"/>
        </w:rPr>
      </w:pPr>
      <w:r>
        <w:rPr>
          <w:lang w:val="uk-UA"/>
        </w:rPr>
        <w:t xml:space="preserve">Застосування </w:t>
      </w:r>
      <w:proofErr w:type="spellStart"/>
      <w:r>
        <w:rPr>
          <w:lang w:val="uk-UA"/>
        </w:rPr>
        <w:t>цефепіму</w:t>
      </w:r>
      <w:proofErr w:type="spellEnd"/>
      <w:r>
        <w:rPr>
          <w:lang w:val="uk-UA"/>
        </w:rPr>
        <w:t xml:space="preserve"> може бути причиною </w:t>
      </w:r>
      <w:proofErr w:type="spellStart"/>
      <w:r>
        <w:rPr>
          <w:lang w:val="uk-UA"/>
        </w:rPr>
        <w:t>хибнопозитивної</w:t>
      </w:r>
      <w:proofErr w:type="spellEnd"/>
      <w:r>
        <w:rPr>
          <w:lang w:val="uk-UA"/>
        </w:rPr>
        <w:t xml:space="preserve"> реакції на глюкозу в сечі у разі використання реактиву Бенедикта. Рекомендується використовувати тести на глюкозу, що ґрунтуються на ферментній реакції окислення глюкози.</w:t>
      </w:r>
    </w:p>
    <w:p w:rsidR="00121060" w:rsidRDefault="00121060" w:rsidP="00121060">
      <w:pPr>
        <w:rPr>
          <w:sz w:val="28"/>
          <w:szCs w:val="28"/>
          <w:lang w:val="uk-UA"/>
        </w:rPr>
      </w:pPr>
    </w:p>
    <w:p w:rsidR="00121060" w:rsidRDefault="00121060" w:rsidP="00121060">
      <w:pPr>
        <w:jc w:val="both"/>
        <w:rPr>
          <w:b/>
          <w:bCs/>
          <w:lang w:val="uk-UA"/>
        </w:rPr>
      </w:pPr>
      <w:r>
        <w:rPr>
          <w:b/>
          <w:bCs/>
          <w:i/>
          <w:iCs/>
          <w:lang w:val="uk-UA"/>
        </w:rPr>
        <w:t>Особливості застосування</w:t>
      </w:r>
      <w:r>
        <w:rPr>
          <w:b/>
          <w:bCs/>
          <w:lang w:val="uk-UA"/>
        </w:rPr>
        <w:t>.</w:t>
      </w:r>
    </w:p>
    <w:p w:rsidR="00121060" w:rsidRDefault="00121060" w:rsidP="00121060">
      <w:pPr>
        <w:jc w:val="both"/>
        <w:rPr>
          <w:lang w:val="uk-UA"/>
        </w:rPr>
      </w:pPr>
      <w:r>
        <w:rPr>
          <w:lang w:val="uk-UA"/>
        </w:rPr>
        <w:t xml:space="preserve">Необхідно точно визначити, чи відзначалися раніше у хворого реакції </w:t>
      </w:r>
      <w:proofErr w:type="spellStart"/>
      <w:r>
        <w:rPr>
          <w:lang w:val="uk-UA"/>
        </w:rPr>
        <w:t>гіперчутливості</w:t>
      </w:r>
      <w:proofErr w:type="spellEnd"/>
      <w:r>
        <w:rPr>
          <w:lang w:val="uk-UA"/>
        </w:rPr>
        <w:t xml:space="preserve"> негайного типу на </w:t>
      </w:r>
      <w:proofErr w:type="spellStart"/>
      <w:r>
        <w:rPr>
          <w:lang w:val="uk-UA"/>
        </w:rPr>
        <w:t>цефепім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цефалоспорини</w:t>
      </w:r>
      <w:proofErr w:type="spellEnd"/>
      <w:r>
        <w:rPr>
          <w:lang w:val="uk-UA"/>
        </w:rPr>
        <w:t>, пеніциліни або інші β-</w:t>
      </w:r>
      <w:proofErr w:type="spellStart"/>
      <w:r>
        <w:rPr>
          <w:lang w:val="uk-UA"/>
        </w:rPr>
        <w:t>лактамні</w:t>
      </w:r>
      <w:proofErr w:type="spellEnd"/>
      <w:r>
        <w:rPr>
          <w:lang w:val="uk-UA"/>
        </w:rPr>
        <w:t xml:space="preserve"> антибіотики. Антибіотики слід призначати з обережністю всім хворим із будь-якими формами алергії, особливо на лікарські засоби. При появі алергічної реакції застосування препарату </w:t>
      </w:r>
      <w:r>
        <w:rPr>
          <w:spacing w:val="8"/>
          <w:lang w:val="uk-UA"/>
        </w:rPr>
        <w:t xml:space="preserve">потрібно припинити. Тяжкі реакції </w:t>
      </w:r>
      <w:proofErr w:type="spellStart"/>
      <w:r>
        <w:rPr>
          <w:spacing w:val="8"/>
          <w:lang w:val="uk-UA"/>
        </w:rPr>
        <w:t>гіперчутливості</w:t>
      </w:r>
      <w:proofErr w:type="spellEnd"/>
      <w:r>
        <w:rPr>
          <w:spacing w:val="8"/>
          <w:lang w:val="uk-UA"/>
        </w:rPr>
        <w:t xml:space="preserve"> можуть вимагати застосування</w:t>
      </w:r>
      <w:r>
        <w:rPr>
          <w:lang w:val="uk-UA"/>
        </w:rPr>
        <w:t xml:space="preserve"> адреналіну, гідрокортизону, </w:t>
      </w:r>
      <w:proofErr w:type="spellStart"/>
      <w:r>
        <w:rPr>
          <w:lang w:val="uk-UA"/>
        </w:rPr>
        <w:t>антигістамінних</w:t>
      </w:r>
      <w:proofErr w:type="spellEnd"/>
      <w:r>
        <w:rPr>
          <w:lang w:val="uk-UA"/>
        </w:rPr>
        <w:t xml:space="preserve"> препаратів та інших засобів невідкладної допомоги.</w:t>
      </w:r>
    </w:p>
    <w:p w:rsidR="00121060" w:rsidRDefault="00121060" w:rsidP="00121060">
      <w:pPr>
        <w:jc w:val="both"/>
        <w:rPr>
          <w:lang w:val="uk-UA"/>
        </w:rPr>
      </w:pPr>
      <w:r>
        <w:rPr>
          <w:lang w:val="uk-UA"/>
        </w:rPr>
        <w:t xml:space="preserve">При тривалому лікуванні необхідно регулярно контролювати функціональні показники печінки, нирок та органів </w:t>
      </w:r>
      <w:proofErr w:type="spellStart"/>
      <w:r>
        <w:rPr>
          <w:lang w:val="uk-UA"/>
        </w:rPr>
        <w:t>гемопоезу</w:t>
      </w:r>
      <w:proofErr w:type="spellEnd"/>
      <w:r>
        <w:rPr>
          <w:lang w:val="uk-UA"/>
        </w:rPr>
        <w:t>.</w:t>
      </w:r>
    </w:p>
    <w:p w:rsidR="00121060" w:rsidRDefault="00121060" w:rsidP="00121060">
      <w:pPr>
        <w:jc w:val="both"/>
        <w:rPr>
          <w:lang w:val="uk-UA"/>
        </w:rPr>
      </w:pPr>
      <w:r>
        <w:rPr>
          <w:lang w:val="uk-UA"/>
        </w:rPr>
        <w:t xml:space="preserve">Для пацієнтів з високим ризиком тяжких інфекцій (наприклад для пацієнтів, які мають в анамнезі трансплантацію кісткового мозку при зниженій його активності, що відбувається на тлі злоякісної гемолітичної патології з тяжкою прогресуючою </w:t>
      </w:r>
      <w:proofErr w:type="spellStart"/>
      <w:r>
        <w:rPr>
          <w:lang w:val="uk-UA"/>
        </w:rPr>
        <w:t>нейтропенією</w:t>
      </w:r>
      <w:proofErr w:type="spellEnd"/>
      <w:r>
        <w:rPr>
          <w:lang w:val="uk-UA"/>
        </w:rPr>
        <w:t xml:space="preserve">) </w:t>
      </w:r>
      <w:proofErr w:type="spellStart"/>
      <w:r>
        <w:rPr>
          <w:lang w:val="uk-UA"/>
        </w:rPr>
        <w:t>монотерапія</w:t>
      </w:r>
      <w:proofErr w:type="spellEnd"/>
      <w:r>
        <w:rPr>
          <w:lang w:val="uk-UA"/>
        </w:rPr>
        <w:t xml:space="preserve"> може бути недостатньою, тому показана комплексна антимікробна терапія.</w:t>
      </w:r>
    </w:p>
    <w:p w:rsidR="00121060" w:rsidRDefault="00121060" w:rsidP="00121060">
      <w:pPr>
        <w:jc w:val="both"/>
        <w:rPr>
          <w:lang w:val="uk-UA"/>
        </w:rPr>
      </w:pPr>
      <w:r>
        <w:rPr>
          <w:lang w:val="uk-UA"/>
        </w:rPr>
        <w:t xml:space="preserve">Для ідентифікації мікроорганізму-збудника (збудників) та визначення чутливості до </w:t>
      </w:r>
      <w:proofErr w:type="spellStart"/>
      <w:r>
        <w:rPr>
          <w:lang w:val="uk-UA"/>
        </w:rPr>
        <w:t>цефепіму</w:t>
      </w:r>
      <w:proofErr w:type="spellEnd"/>
      <w:r>
        <w:rPr>
          <w:lang w:val="uk-UA"/>
        </w:rPr>
        <w:t xml:space="preserve"> слід провести відповідні тести. </w:t>
      </w:r>
      <w:proofErr w:type="spellStart"/>
      <w:r>
        <w:rPr>
          <w:lang w:val="uk-UA"/>
        </w:rPr>
        <w:t>Цефепім</w:t>
      </w:r>
      <w:proofErr w:type="spellEnd"/>
      <w:r>
        <w:rPr>
          <w:lang w:val="uk-UA"/>
        </w:rPr>
        <w:t xml:space="preserve"> можна застосовувати як </w:t>
      </w:r>
      <w:proofErr w:type="spellStart"/>
      <w:r>
        <w:rPr>
          <w:lang w:val="uk-UA"/>
        </w:rPr>
        <w:t>монотерапію</w:t>
      </w:r>
      <w:proofErr w:type="spellEnd"/>
      <w:r>
        <w:rPr>
          <w:lang w:val="uk-UA"/>
        </w:rPr>
        <w:t xml:space="preserve"> ще до ідентифікації мікроорганізму-збудника (збудників), оскільки йому властивий широкий спектр антибактеріальної дії щодо </w:t>
      </w:r>
      <w:proofErr w:type="spellStart"/>
      <w:r>
        <w:rPr>
          <w:lang w:val="uk-UA"/>
        </w:rPr>
        <w:t>грампозитивних</w:t>
      </w:r>
      <w:proofErr w:type="spellEnd"/>
      <w:r>
        <w:rPr>
          <w:lang w:val="uk-UA"/>
        </w:rPr>
        <w:t xml:space="preserve"> та </w:t>
      </w:r>
      <w:proofErr w:type="spellStart"/>
      <w:r>
        <w:rPr>
          <w:lang w:val="uk-UA"/>
        </w:rPr>
        <w:t>грамнегативних</w:t>
      </w:r>
      <w:proofErr w:type="spellEnd"/>
      <w:r>
        <w:rPr>
          <w:lang w:val="uk-UA"/>
        </w:rPr>
        <w:t xml:space="preserve"> мікроорганізмів. У пацієнтів із ризиком змішаної </w:t>
      </w:r>
      <w:proofErr w:type="spellStart"/>
      <w:r>
        <w:rPr>
          <w:lang w:val="uk-UA"/>
        </w:rPr>
        <w:t>аеробно</w:t>
      </w:r>
      <w:proofErr w:type="spellEnd"/>
      <w:r>
        <w:rPr>
          <w:lang w:val="uk-UA"/>
        </w:rPr>
        <w:t xml:space="preserve">-анаеробної (включаючи </w:t>
      </w:r>
      <w:proofErr w:type="spellStart"/>
      <w:r>
        <w:rPr>
          <w:i/>
          <w:lang w:val="uk-UA"/>
        </w:rPr>
        <w:t>Bacteroides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fragilis</w:t>
      </w:r>
      <w:proofErr w:type="spellEnd"/>
      <w:r>
        <w:rPr>
          <w:lang w:val="uk-UA"/>
        </w:rPr>
        <w:t>) інфекції до ідентифікації збудника можна починати лікування препаратом у комбінації з лікарським засобом, який діє на анаероби.</w:t>
      </w:r>
    </w:p>
    <w:p w:rsidR="00121060" w:rsidRDefault="00121060" w:rsidP="00121060">
      <w:pPr>
        <w:jc w:val="both"/>
        <w:rPr>
          <w:lang w:val="uk-UA"/>
        </w:rPr>
      </w:pPr>
      <w:r>
        <w:rPr>
          <w:lang w:val="uk-UA"/>
        </w:rPr>
        <w:t xml:space="preserve">Для хворих віком від 65 років з нормальною функцією нирок не потрібне коригування дози </w:t>
      </w:r>
      <w:proofErr w:type="spellStart"/>
      <w:r>
        <w:rPr>
          <w:lang w:val="uk-UA"/>
        </w:rPr>
        <w:t>цефепіму</w:t>
      </w:r>
      <w:proofErr w:type="spellEnd"/>
      <w:r>
        <w:rPr>
          <w:lang w:val="uk-UA"/>
        </w:rPr>
        <w:t>, незважаючи на нижчий нирковий кліренс порівняно з таким у молодих пацієнтів. Пацієнти літнього віку можуть мати знижену функцію нирок, тому слід бути обачним при виборі дози та обов’язково контролювати функцію нирок.</w:t>
      </w:r>
    </w:p>
    <w:p w:rsidR="00121060" w:rsidRDefault="00121060" w:rsidP="00121060">
      <w:pPr>
        <w:jc w:val="both"/>
        <w:rPr>
          <w:lang w:val="uk-UA"/>
        </w:rPr>
      </w:pPr>
      <w:r>
        <w:rPr>
          <w:lang w:val="uk-UA"/>
        </w:rPr>
        <w:t>З обережністю застосовувати пацієнтам із захворюваннями травного тракту, особливо колітом.</w:t>
      </w:r>
    </w:p>
    <w:p w:rsidR="00121060" w:rsidRDefault="00121060" w:rsidP="00121060">
      <w:pPr>
        <w:jc w:val="both"/>
        <w:rPr>
          <w:lang w:val="uk-UA"/>
        </w:rPr>
      </w:pPr>
      <w:r>
        <w:rPr>
          <w:lang w:val="uk-UA"/>
        </w:rPr>
        <w:t xml:space="preserve">Необхідно контролювати </w:t>
      </w:r>
      <w:proofErr w:type="spellStart"/>
      <w:r>
        <w:rPr>
          <w:lang w:val="uk-UA"/>
        </w:rPr>
        <w:t>протромбіновий</w:t>
      </w:r>
      <w:proofErr w:type="spellEnd"/>
      <w:r>
        <w:rPr>
          <w:lang w:val="uk-UA"/>
        </w:rPr>
        <w:t xml:space="preserve"> час.</w:t>
      </w:r>
    </w:p>
    <w:p w:rsidR="00121060" w:rsidRDefault="00121060" w:rsidP="00121060">
      <w:pPr>
        <w:jc w:val="both"/>
        <w:rPr>
          <w:lang w:val="uk-UA"/>
        </w:rPr>
      </w:pPr>
      <w:r>
        <w:rPr>
          <w:lang w:val="uk-UA"/>
        </w:rPr>
        <w:t xml:space="preserve">Пацієнтам з порушенням функції нирок (кліренс креатиніну &lt; 60 мл/хв) дозу лікарського засобу слід відкоригувати, щоб компенсувати повільну швидкість ниркового виведення. Оскільки у пацієнтів з нирковою недостатністю або іншими станами, які можуть погіршити функції нирок, при звичайних дозах концентрації антибіотика у сироватці крові можуть зберігатися довше, підтримувальну дозу </w:t>
      </w:r>
      <w:proofErr w:type="spellStart"/>
      <w:r>
        <w:rPr>
          <w:lang w:val="uk-UA"/>
        </w:rPr>
        <w:t>цефепіму</w:t>
      </w:r>
      <w:proofErr w:type="spellEnd"/>
      <w:r>
        <w:rPr>
          <w:lang w:val="uk-UA"/>
        </w:rPr>
        <w:t xml:space="preserve"> для таких пацієнтів потрібно знизити. Ступінь порушення функції нирок, тяжкість інфекції і сприйнятливість до організмів, які спричинили інфекцію, слід враховувати при визначенні наступної дози.</w:t>
      </w:r>
    </w:p>
    <w:p w:rsidR="00121060" w:rsidRDefault="00121060" w:rsidP="00121060">
      <w:pPr>
        <w:jc w:val="both"/>
        <w:rPr>
          <w:lang w:val="uk-UA"/>
        </w:rPr>
      </w:pPr>
      <w:r>
        <w:rPr>
          <w:lang w:val="uk-UA"/>
        </w:rPr>
        <w:t xml:space="preserve">При застосуванні </w:t>
      </w:r>
      <w:proofErr w:type="spellStart"/>
      <w:r>
        <w:rPr>
          <w:lang w:val="uk-UA"/>
        </w:rPr>
        <w:t>цефепіму</w:t>
      </w:r>
      <w:proofErr w:type="spellEnd"/>
      <w:r>
        <w:rPr>
          <w:lang w:val="uk-UA"/>
        </w:rPr>
        <w:t xml:space="preserve">, як і при застосуванні інших препаратів цієї групи, серйозні побічні реакції, такі як оборотні </w:t>
      </w:r>
      <w:proofErr w:type="spellStart"/>
      <w:r>
        <w:rPr>
          <w:lang w:val="uk-UA"/>
        </w:rPr>
        <w:t>енцефалопатії</w:t>
      </w:r>
      <w:proofErr w:type="spellEnd"/>
      <w:r>
        <w:rPr>
          <w:lang w:val="uk-UA"/>
        </w:rPr>
        <w:t xml:space="preserve"> (сплутаність свідомості, у тому числі затьмарення свідомості), </w:t>
      </w:r>
      <w:proofErr w:type="spellStart"/>
      <w:r>
        <w:rPr>
          <w:lang w:val="uk-UA"/>
        </w:rPr>
        <w:t>міоклонія</w:t>
      </w:r>
      <w:proofErr w:type="spellEnd"/>
      <w:r>
        <w:rPr>
          <w:lang w:val="uk-UA"/>
        </w:rPr>
        <w:t xml:space="preserve">, судоми та/або ниркова недостатність, спостерігалися найчастіше у пацієнтів </w:t>
      </w:r>
      <w:r>
        <w:rPr>
          <w:lang w:val="uk-UA"/>
        </w:rPr>
        <w:lastRenderedPageBreak/>
        <w:t xml:space="preserve">з нирковою недостатністю, які отримували дози препарату, що перевищували рекомендовані, та у пацієнтів літнього віку з нирковою недостатністю на тлі рекомендованих доз </w:t>
      </w:r>
      <w:proofErr w:type="spellStart"/>
      <w:r>
        <w:rPr>
          <w:lang w:val="uk-UA"/>
        </w:rPr>
        <w:t>цефепіму</w:t>
      </w:r>
      <w:proofErr w:type="spellEnd"/>
      <w:r>
        <w:rPr>
          <w:lang w:val="uk-UA"/>
        </w:rPr>
        <w:t xml:space="preserve">. Деякі випадки відмічені у пацієнтів, які отримували дози, що були скориговані з урахуванням функції їхніх нирок. Найчастіше симптоми </w:t>
      </w:r>
      <w:proofErr w:type="spellStart"/>
      <w:r>
        <w:rPr>
          <w:lang w:val="uk-UA"/>
        </w:rPr>
        <w:t>нефротоксичності</w:t>
      </w:r>
      <w:proofErr w:type="spellEnd"/>
      <w:r>
        <w:rPr>
          <w:lang w:val="uk-UA"/>
        </w:rPr>
        <w:t xml:space="preserve"> були оборотні і зникали після припинення застосування </w:t>
      </w:r>
      <w:proofErr w:type="spellStart"/>
      <w:r>
        <w:rPr>
          <w:lang w:val="uk-UA"/>
        </w:rPr>
        <w:t>цефепіму</w:t>
      </w:r>
      <w:proofErr w:type="spellEnd"/>
      <w:r>
        <w:rPr>
          <w:lang w:val="uk-UA"/>
        </w:rPr>
        <w:t xml:space="preserve"> та/або після гемодіалізу.</w:t>
      </w:r>
    </w:p>
    <w:p w:rsidR="00121060" w:rsidRDefault="00121060" w:rsidP="00121060">
      <w:pPr>
        <w:jc w:val="both"/>
        <w:rPr>
          <w:lang w:val="uk-UA"/>
        </w:rPr>
      </w:pPr>
      <w:r>
        <w:rPr>
          <w:lang w:val="uk-UA"/>
        </w:rPr>
        <w:t xml:space="preserve">Фармакокінетика </w:t>
      </w:r>
      <w:proofErr w:type="spellStart"/>
      <w:r>
        <w:rPr>
          <w:lang w:val="uk-UA"/>
        </w:rPr>
        <w:t>цефепіму</w:t>
      </w:r>
      <w:proofErr w:type="spellEnd"/>
      <w:r>
        <w:rPr>
          <w:lang w:val="uk-UA"/>
        </w:rPr>
        <w:t xml:space="preserve"> у хворих з порушеннями функції печінки не змінена. Коригувати дозу для таких хворих не потрібно.</w:t>
      </w:r>
    </w:p>
    <w:p w:rsidR="00121060" w:rsidRDefault="00121060" w:rsidP="00121060">
      <w:pPr>
        <w:jc w:val="both"/>
        <w:rPr>
          <w:lang w:val="uk-UA"/>
        </w:rPr>
      </w:pPr>
      <w:r>
        <w:rPr>
          <w:lang w:val="uk-UA"/>
        </w:rPr>
        <w:t xml:space="preserve">Антибіотики широкого спектра дії, особливо при тривалому застосуванні, можуть спричиняти </w:t>
      </w:r>
      <w:proofErr w:type="spellStart"/>
      <w:r>
        <w:rPr>
          <w:lang w:val="uk-UA"/>
        </w:rPr>
        <w:t>псевдомембранозний</w:t>
      </w:r>
      <w:proofErr w:type="spellEnd"/>
      <w:r>
        <w:rPr>
          <w:lang w:val="uk-UA"/>
        </w:rPr>
        <w:t xml:space="preserve"> коліт зі ступенем прояву від легкої діареї до коліту з летальним наслідком, тому слід звертати увагу на виникнення діареї під час лікування </w:t>
      </w:r>
      <w:proofErr w:type="spellStart"/>
      <w:r>
        <w:rPr>
          <w:lang w:val="uk-UA"/>
        </w:rPr>
        <w:t>цефепімом</w:t>
      </w:r>
      <w:proofErr w:type="spellEnd"/>
      <w:r>
        <w:rPr>
          <w:lang w:val="uk-UA"/>
        </w:rPr>
        <w:t>. Легкі форми коліту можуть минати самі по собі після закінчення терапії, середні або тяжкі стани можуть потребувати спеціального лікування.</w:t>
      </w:r>
    </w:p>
    <w:p w:rsidR="00121060" w:rsidRDefault="00121060" w:rsidP="00121060">
      <w:pPr>
        <w:jc w:val="both"/>
        <w:rPr>
          <w:lang w:val="uk-UA"/>
        </w:rPr>
      </w:pPr>
      <w:r>
        <w:rPr>
          <w:lang w:val="uk-UA"/>
        </w:rPr>
        <w:t xml:space="preserve">Застосування антибактеріальних засобів змінює нормальну флору товстої кишки і може спричинити розростання </w:t>
      </w:r>
      <w:proofErr w:type="spellStart"/>
      <w:r>
        <w:rPr>
          <w:lang w:val="uk-UA"/>
        </w:rPr>
        <w:t>клостридій</w:t>
      </w:r>
      <w:proofErr w:type="spellEnd"/>
      <w:r>
        <w:rPr>
          <w:lang w:val="uk-UA"/>
        </w:rPr>
        <w:t xml:space="preserve">. Дослідження вказують на те, що токсин, який продукується </w:t>
      </w:r>
      <w:proofErr w:type="spellStart"/>
      <w:r>
        <w:rPr>
          <w:i/>
          <w:iCs/>
          <w:lang w:val="uk-UA"/>
        </w:rPr>
        <w:t>Clostridium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difficile</w:t>
      </w:r>
      <w:proofErr w:type="spellEnd"/>
      <w:r>
        <w:rPr>
          <w:lang w:val="uk-UA"/>
        </w:rPr>
        <w:t xml:space="preserve">, є основною причиною </w:t>
      </w:r>
      <w:proofErr w:type="spellStart"/>
      <w:r>
        <w:rPr>
          <w:lang w:val="uk-UA"/>
        </w:rPr>
        <w:t>антибіотикоасоційованого</w:t>
      </w:r>
      <w:proofErr w:type="spellEnd"/>
      <w:r>
        <w:rPr>
          <w:lang w:val="uk-UA"/>
        </w:rPr>
        <w:t xml:space="preserve"> коліту. Після підтвердження діагнозу </w:t>
      </w:r>
      <w:proofErr w:type="spellStart"/>
      <w:r>
        <w:rPr>
          <w:lang w:val="uk-UA"/>
        </w:rPr>
        <w:t>псевдомембранозного</w:t>
      </w:r>
      <w:proofErr w:type="spellEnd"/>
      <w:r>
        <w:rPr>
          <w:lang w:val="uk-UA"/>
        </w:rPr>
        <w:t xml:space="preserve"> </w:t>
      </w:r>
      <w:r>
        <w:rPr>
          <w:spacing w:val="6"/>
          <w:lang w:val="uk-UA"/>
        </w:rPr>
        <w:t xml:space="preserve">коліту необхідно вжити терапевтичних заходів. </w:t>
      </w:r>
      <w:proofErr w:type="spellStart"/>
      <w:r>
        <w:rPr>
          <w:spacing w:val="6"/>
          <w:lang w:val="uk-UA"/>
        </w:rPr>
        <w:t>Псевдомембранозний</w:t>
      </w:r>
      <w:proofErr w:type="spellEnd"/>
      <w:r>
        <w:rPr>
          <w:spacing w:val="6"/>
          <w:lang w:val="uk-UA"/>
        </w:rPr>
        <w:t xml:space="preserve"> коліт</w:t>
      </w:r>
      <w:r>
        <w:rPr>
          <w:lang w:val="uk-UA"/>
        </w:rPr>
        <w:t xml:space="preserve"> середнього ступеня може зникнути після припинення застосування препарату. У разі </w:t>
      </w:r>
      <w:proofErr w:type="spellStart"/>
      <w:r>
        <w:rPr>
          <w:lang w:val="uk-UA"/>
        </w:rPr>
        <w:t>псевдомембранозного</w:t>
      </w:r>
      <w:proofErr w:type="spellEnd"/>
      <w:r>
        <w:rPr>
          <w:lang w:val="uk-UA"/>
        </w:rPr>
        <w:t xml:space="preserve"> </w:t>
      </w:r>
      <w:r>
        <w:rPr>
          <w:spacing w:val="6"/>
          <w:lang w:val="uk-UA"/>
        </w:rPr>
        <w:t xml:space="preserve">коліту </w:t>
      </w:r>
      <w:r>
        <w:rPr>
          <w:lang w:val="uk-UA"/>
        </w:rPr>
        <w:t xml:space="preserve">середнього і тяжкого ступенів потрібно розглянути необхідність застосування рідин та електролітів, поповнення білків і застосування антибактеріального препарату, ефективного щодо </w:t>
      </w:r>
      <w:proofErr w:type="spellStart"/>
      <w:r>
        <w:rPr>
          <w:i/>
          <w:iCs/>
          <w:lang w:val="uk-UA"/>
        </w:rPr>
        <w:t>Clostridium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difficile</w:t>
      </w:r>
      <w:proofErr w:type="spellEnd"/>
      <w:r>
        <w:rPr>
          <w:lang w:val="uk-UA"/>
        </w:rPr>
        <w:t>.</w:t>
      </w:r>
    </w:p>
    <w:p w:rsidR="00121060" w:rsidRDefault="00121060" w:rsidP="00121060">
      <w:pPr>
        <w:jc w:val="both"/>
        <w:rPr>
          <w:lang w:val="uk-UA"/>
        </w:rPr>
      </w:pPr>
      <w:r>
        <w:rPr>
          <w:lang w:val="uk-UA"/>
        </w:rPr>
        <w:t xml:space="preserve">Малоймовірно, що призначення </w:t>
      </w:r>
      <w:proofErr w:type="spellStart"/>
      <w:r>
        <w:rPr>
          <w:lang w:val="uk-UA"/>
        </w:rPr>
        <w:t>цефепіму</w:t>
      </w:r>
      <w:proofErr w:type="spellEnd"/>
      <w:r>
        <w:rPr>
          <w:lang w:val="uk-UA"/>
        </w:rPr>
        <w:t xml:space="preserve"> при відсутності доведеної чи підозрюваної бактеріальної інфекції або профілактичне застосування буде корисним, але це збільшить ризик появи бактерій, несприйнятливих до цього лікарського засобу.  Тривале застосування </w:t>
      </w:r>
      <w:proofErr w:type="spellStart"/>
      <w:r>
        <w:rPr>
          <w:lang w:val="uk-UA"/>
        </w:rPr>
        <w:t>цефепіму</w:t>
      </w:r>
      <w:proofErr w:type="spellEnd"/>
      <w:r>
        <w:rPr>
          <w:lang w:val="uk-UA"/>
        </w:rPr>
        <w:t xml:space="preserve"> (як і інших антибіотиків) може призводити до розвитку </w:t>
      </w:r>
      <w:proofErr w:type="spellStart"/>
      <w:r>
        <w:rPr>
          <w:lang w:val="uk-UA"/>
        </w:rPr>
        <w:t>суперінфекції</w:t>
      </w:r>
      <w:proofErr w:type="spellEnd"/>
      <w:r>
        <w:rPr>
          <w:lang w:val="uk-UA"/>
        </w:rPr>
        <w:t xml:space="preserve">. Необхідно проводити повторну перевірку стану пацієнта. У разі розвитку </w:t>
      </w:r>
      <w:proofErr w:type="spellStart"/>
      <w:r>
        <w:rPr>
          <w:lang w:val="uk-UA"/>
        </w:rPr>
        <w:t>суперінфекції</w:t>
      </w:r>
      <w:proofErr w:type="spellEnd"/>
      <w:r>
        <w:rPr>
          <w:lang w:val="uk-UA"/>
        </w:rPr>
        <w:t xml:space="preserve"> необхідно розпочати адекватне лікування.</w:t>
      </w:r>
    </w:p>
    <w:p w:rsidR="00121060" w:rsidRDefault="00121060" w:rsidP="00121060">
      <w:pPr>
        <w:jc w:val="both"/>
        <w:rPr>
          <w:lang w:val="uk-UA"/>
        </w:rPr>
      </w:pPr>
      <w:r>
        <w:rPr>
          <w:lang w:val="uk-UA"/>
        </w:rPr>
        <w:t xml:space="preserve">Багато </w:t>
      </w:r>
      <w:proofErr w:type="spellStart"/>
      <w:r>
        <w:rPr>
          <w:lang w:val="uk-UA"/>
        </w:rPr>
        <w:t>цефалоспоринів</w:t>
      </w:r>
      <w:proofErr w:type="spellEnd"/>
      <w:r>
        <w:rPr>
          <w:lang w:val="uk-UA"/>
        </w:rPr>
        <w:t xml:space="preserve">, включаючи </w:t>
      </w:r>
      <w:proofErr w:type="spellStart"/>
      <w:r>
        <w:rPr>
          <w:lang w:val="uk-UA"/>
        </w:rPr>
        <w:t>цефепім</w:t>
      </w:r>
      <w:proofErr w:type="spellEnd"/>
      <w:r>
        <w:rPr>
          <w:lang w:val="uk-UA"/>
        </w:rPr>
        <w:t>, асоціюються зі зниженням активності протромбіну. До групи ризику входять пацієнти з порушенням функції печінки або нирок, пацієнти, які погано харчуються, а також ті, хто приймає тривалий курс антимікробної терапії. Слід контролювати протромбін у пацієнтів групи ризику і в разі необхідності призначати вітамін К.</w:t>
      </w:r>
    </w:p>
    <w:p w:rsidR="00121060" w:rsidRDefault="00121060" w:rsidP="00121060">
      <w:pPr>
        <w:jc w:val="both"/>
        <w:rPr>
          <w:lang w:val="uk-UA"/>
        </w:rPr>
      </w:pPr>
      <w:r>
        <w:rPr>
          <w:lang w:val="uk-UA"/>
        </w:rPr>
        <w:t xml:space="preserve">У період застосування </w:t>
      </w:r>
      <w:proofErr w:type="spellStart"/>
      <w:r>
        <w:rPr>
          <w:lang w:val="uk-UA"/>
        </w:rPr>
        <w:t>цефепіму</w:t>
      </w:r>
      <w:proofErr w:type="spellEnd"/>
      <w:r>
        <w:rPr>
          <w:lang w:val="uk-UA"/>
        </w:rPr>
        <w:t xml:space="preserve"> можуть бути отримані позитивні результати прямого тесту </w:t>
      </w:r>
      <w:proofErr w:type="spellStart"/>
      <w:r>
        <w:rPr>
          <w:lang w:val="uk-UA"/>
        </w:rPr>
        <w:t>Кумбса</w:t>
      </w:r>
      <w:proofErr w:type="spellEnd"/>
      <w:r>
        <w:rPr>
          <w:lang w:val="uk-UA"/>
        </w:rPr>
        <w:t xml:space="preserve">. При проведенні гематологічних чи </w:t>
      </w:r>
      <w:proofErr w:type="spellStart"/>
      <w:r>
        <w:rPr>
          <w:lang w:val="uk-UA"/>
        </w:rPr>
        <w:t>трансфузійних</w:t>
      </w:r>
      <w:proofErr w:type="spellEnd"/>
      <w:r>
        <w:rPr>
          <w:lang w:val="uk-UA"/>
        </w:rPr>
        <w:t xml:space="preserve"> процедур для визначення групи крові перехресним способом, коли проводиться </w:t>
      </w:r>
      <w:proofErr w:type="spellStart"/>
      <w:r>
        <w:rPr>
          <w:lang w:val="uk-UA"/>
        </w:rPr>
        <w:t>антиглобуліновий</w:t>
      </w:r>
      <w:proofErr w:type="spellEnd"/>
      <w:r>
        <w:rPr>
          <w:lang w:val="uk-UA"/>
        </w:rPr>
        <w:t xml:space="preserve"> тест, або при проведенні тесту </w:t>
      </w:r>
      <w:proofErr w:type="spellStart"/>
      <w:r>
        <w:rPr>
          <w:lang w:val="uk-UA"/>
        </w:rPr>
        <w:t>Кумбса</w:t>
      </w:r>
      <w:proofErr w:type="spellEnd"/>
      <w:r>
        <w:rPr>
          <w:lang w:val="uk-UA"/>
        </w:rPr>
        <w:t xml:space="preserve"> у новонароджених, матері яких отримували антибіотики групи </w:t>
      </w:r>
      <w:proofErr w:type="spellStart"/>
      <w:r>
        <w:rPr>
          <w:lang w:val="uk-UA"/>
        </w:rPr>
        <w:t>цефалоспоринів</w:t>
      </w:r>
      <w:proofErr w:type="spellEnd"/>
      <w:r>
        <w:rPr>
          <w:lang w:val="uk-UA"/>
        </w:rPr>
        <w:t xml:space="preserve"> до пологів, слід враховувати, що позитивний тест </w:t>
      </w:r>
      <w:proofErr w:type="spellStart"/>
      <w:r>
        <w:rPr>
          <w:lang w:val="uk-UA"/>
        </w:rPr>
        <w:t>Кумбса</w:t>
      </w:r>
      <w:proofErr w:type="spellEnd"/>
      <w:r>
        <w:rPr>
          <w:lang w:val="uk-UA"/>
        </w:rPr>
        <w:t xml:space="preserve"> може бути результатом застосування  препарату.</w:t>
      </w:r>
    </w:p>
    <w:p w:rsidR="00121060" w:rsidRDefault="00121060" w:rsidP="00121060">
      <w:pPr>
        <w:jc w:val="both"/>
        <w:rPr>
          <w:lang w:val="uk-UA"/>
        </w:rPr>
      </w:pPr>
      <w:r>
        <w:rPr>
          <w:lang w:val="uk-UA"/>
        </w:rPr>
        <w:t xml:space="preserve">У разі застосування дітям та дорослим </w:t>
      </w:r>
      <w:proofErr w:type="spellStart"/>
      <w:r>
        <w:rPr>
          <w:lang w:val="uk-UA"/>
        </w:rPr>
        <w:t>лідокаїну</w:t>
      </w:r>
      <w:proofErr w:type="spellEnd"/>
      <w:r>
        <w:rPr>
          <w:lang w:val="uk-UA"/>
        </w:rPr>
        <w:t xml:space="preserve"> як розчинника слід врахувати інформацію з безпеки </w:t>
      </w:r>
      <w:proofErr w:type="spellStart"/>
      <w:r>
        <w:rPr>
          <w:lang w:val="uk-UA"/>
        </w:rPr>
        <w:t>лідокаїну</w:t>
      </w:r>
      <w:proofErr w:type="spellEnd"/>
      <w:r>
        <w:rPr>
          <w:lang w:val="uk-UA"/>
        </w:rPr>
        <w:t>.</w:t>
      </w:r>
    </w:p>
    <w:p w:rsidR="00121060" w:rsidRDefault="00121060" w:rsidP="00121060">
      <w:pPr>
        <w:jc w:val="both"/>
        <w:rPr>
          <w:lang w:val="uk-UA"/>
        </w:rPr>
      </w:pPr>
      <w:r>
        <w:rPr>
          <w:lang w:val="uk-UA"/>
        </w:rPr>
        <w:t xml:space="preserve">Було доведено, що L-аргінін змінює метаболізм глюкози й одночасно збільшує рівень кальцію у сироватці крові при застосуванні доз, які у 33 рази перевищують максимальну рекомендовану дозу </w:t>
      </w:r>
      <w:proofErr w:type="spellStart"/>
      <w:r>
        <w:rPr>
          <w:lang w:val="uk-UA"/>
        </w:rPr>
        <w:t>цефепіму</w:t>
      </w:r>
      <w:proofErr w:type="spellEnd"/>
      <w:r>
        <w:rPr>
          <w:lang w:val="uk-UA"/>
        </w:rPr>
        <w:t>. Ефекти при більш низьких дозах на сьогодні невідомі.</w:t>
      </w:r>
    </w:p>
    <w:p w:rsidR="00121060" w:rsidRDefault="00121060" w:rsidP="00121060">
      <w:pPr>
        <w:jc w:val="both"/>
        <w:rPr>
          <w:b/>
          <w:i/>
          <w:iCs/>
          <w:lang w:val="uk-UA"/>
        </w:rPr>
      </w:pPr>
    </w:p>
    <w:p w:rsidR="00121060" w:rsidRDefault="00121060" w:rsidP="00121060">
      <w:pPr>
        <w:jc w:val="both"/>
        <w:rPr>
          <w:b/>
          <w:i/>
          <w:iCs/>
          <w:lang w:val="uk-UA"/>
        </w:rPr>
      </w:pPr>
      <w:r>
        <w:rPr>
          <w:b/>
          <w:i/>
          <w:iCs/>
          <w:lang w:val="uk-UA"/>
        </w:rPr>
        <w:t>Застосування у період вагітності або годування груддю.</w:t>
      </w:r>
    </w:p>
    <w:p w:rsidR="00121060" w:rsidRDefault="00121060" w:rsidP="00121060">
      <w:pPr>
        <w:jc w:val="both"/>
        <w:rPr>
          <w:lang w:val="uk-UA"/>
        </w:rPr>
      </w:pPr>
      <w:r>
        <w:rPr>
          <w:lang w:val="uk-UA"/>
        </w:rPr>
        <w:t xml:space="preserve">Дослідження на тваринах продемонстрували відсутність впливу на репродуктивну функцію і відсутність будь-якого шкідливого впливу на плід. Однак адекватні і добре контрольовані дослідження за участю вагітних жінок не проводилися, тому </w:t>
      </w:r>
      <w:proofErr w:type="spellStart"/>
      <w:r>
        <w:rPr>
          <w:lang w:val="uk-UA"/>
        </w:rPr>
        <w:t>цефепім</w:t>
      </w:r>
      <w:proofErr w:type="spellEnd"/>
      <w:r>
        <w:rPr>
          <w:lang w:val="uk-UA"/>
        </w:rPr>
        <w:t xml:space="preserve"> у період вагітності можна призначити тільки тоді, коли очікувана користь для жінки перевищує потенційний ризик для плода.</w:t>
      </w:r>
    </w:p>
    <w:p w:rsidR="00121060" w:rsidRDefault="00121060" w:rsidP="00121060">
      <w:pPr>
        <w:jc w:val="both"/>
        <w:rPr>
          <w:lang w:val="uk-UA"/>
        </w:rPr>
      </w:pPr>
      <w:r>
        <w:rPr>
          <w:lang w:val="uk-UA"/>
        </w:rPr>
        <w:t xml:space="preserve">У невеликій кількості </w:t>
      </w:r>
      <w:proofErr w:type="spellStart"/>
      <w:r>
        <w:rPr>
          <w:lang w:val="uk-UA"/>
        </w:rPr>
        <w:t>цефепім</w:t>
      </w:r>
      <w:proofErr w:type="spellEnd"/>
      <w:r>
        <w:rPr>
          <w:lang w:val="uk-UA"/>
        </w:rPr>
        <w:t xml:space="preserve"> проникає у грудне молоко, тому під час лікування препаратом годування грудьми слід припинити. </w:t>
      </w:r>
    </w:p>
    <w:p w:rsidR="00121060" w:rsidRDefault="00121060" w:rsidP="00121060">
      <w:pPr>
        <w:rPr>
          <w:lang w:val="uk-UA"/>
        </w:rPr>
      </w:pPr>
    </w:p>
    <w:p w:rsidR="00121060" w:rsidRDefault="00121060" w:rsidP="00121060">
      <w:pPr>
        <w:jc w:val="both"/>
        <w:rPr>
          <w:b/>
          <w:i/>
          <w:iCs/>
          <w:lang w:val="uk-UA"/>
        </w:rPr>
      </w:pPr>
      <w:r>
        <w:rPr>
          <w:b/>
          <w:i/>
          <w:iCs/>
          <w:lang w:val="uk-UA"/>
        </w:rPr>
        <w:t>Здатність впливати на швидкість реакції при керуванні автотранспортом або іншими механізмами.</w:t>
      </w:r>
    </w:p>
    <w:p w:rsidR="00121060" w:rsidRDefault="00121060" w:rsidP="00121060">
      <w:pPr>
        <w:jc w:val="both"/>
        <w:rPr>
          <w:lang w:val="uk-UA"/>
        </w:rPr>
      </w:pPr>
      <w:r>
        <w:rPr>
          <w:lang w:val="uk-UA"/>
        </w:rPr>
        <w:t>Не вивчалася. У разі виникнення запаморочення або інших побічних ефектів, що можуть впливати на швидкість реакцій, слід утримуватися від керування автомобілем або роботи з іншими механізмами.</w:t>
      </w:r>
    </w:p>
    <w:p w:rsidR="00121060" w:rsidRDefault="00121060" w:rsidP="00121060">
      <w:pPr>
        <w:rPr>
          <w:lang w:val="uk-UA"/>
        </w:rPr>
      </w:pPr>
    </w:p>
    <w:p w:rsidR="00121060" w:rsidRDefault="00121060" w:rsidP="00121060">
      <w:pPr>
        <w:rPr>
          <w:lang w:val="uk-UA"/>
        </w:rPr>
      </w:pPr>
    </w:p>
    <w:p w:rsidR="00121060" w:rsidRDefault="00121060" w:rsidP="00121060">
      <w:pPr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Спосіб застосування та дози.</w:t>
      </w:r>
    </w:p>
    <w:p w:rsidR="00121060" w:rsidRDefault="00121060" w:rsidP="00121060">
      <w:pPr>
        <w:jc w:val="both"/>
        <w:rPr>
          <w:lang w:val="uk-UA"/>
        </w:rPr>
      </w:pPr>
      <w:r>
        <w:rPr>
          <w:lang w:val="uk-UA"/>
        </w:rPr>
        <w:lastRenderedPageBreak/>
        <w:t xml:space="preserve">Лікарський засіб призначений для </w:t>
      </w:r>
      <w:proofErr w:type="spellStart"/>
      <w:r>
        <w:rPr>
          <w:lang w:val="uk-UA"/>
        </w:rPr>
        <w:t>парентерального</w:t>
      </w:r>
      <w:proofErr w:type="spellEnd"/>
      <w:r>
        <w:rPr>
          <w:lang w:val="uk-UA"/>
        </w:rPr>
        <w:t xml:space="preserve"> введення. Дозу препарату встановлює лікар індивідуально, залежно від ступеня тяжкості захворювання, віку пацієнта, локалізації інфекції, функції нирок. Звичайне дозування для дорослих і дітей з масою тіла більше 40 кг становить 1 г внутрішньовенно або </w:t>
      </w:r>
      <w:proofErr w:type="spellStart"/>
      <w:r>
        <w:rPr>
          <w:lang w:val="uk-UA"/>
        </w:rPr>
        <w:t>внутрішньом’язово</w:t>
      </w:r>
      <w:proofErr w:type="spellEnd"/>
      <w:r>
        <w:rPr>
          <w:lang w:val="uk-UA"/>
        </w:rPr>
        <w:t xml:space="preserve"> кожні 12 годин. Звичайна тривалість лікування становить 7–10 днів. Тяжкі інфекції можуть потребувати більш тривалого лікування. Рекомендації щодо дозування </w:t>
      </w:r>
      <w:proofErr w:type="spellStart"/>
      <w:r>
        <w:rPr>
          <w:lang w:val="uk-UA"/>
        </w:rPr>
        <w:t>цефепіму</w:t>
      </w:r>
      <w:proofErr w:type="spellEnd"/>
      <w:r>
        <w:rPr>
          <w:lang w:val="uk-UA"/>
        </w:rPr>
        <w:t xml:space="preserve"> для дорослих наведені у таблиці 2.</w:t>
      </w:r>
    </w:p>
    <w:p w:rsidR="00121060" w:rsidRDefault="00121060" w:rsidP="00121060">
      <w:pPr>
        <w:jc w:val="both"/>
        <w:rPr>
          <w:sz w:val="12"/>
          <w:lang w:val="uk-UA"/>
        </w:rPr>
      </w:pPr>
    </w:p>
    <w:p w:rsidR="00121060" w:rsidRDefault="00121060" w:rsidP="00121060">
      <w:pPr>
        <w:jc w:val="right"/>
        <w:rPr>
          <w:lang w:val="uk-UA"/>
        </w:rPr>
      </w:pPr>
      <w:r>
        <w:rPr>
          <w:lang w:val="uk-UA"/>
        </w:rPr>
        <w:t xml:space="preserve">Таблиця 2. </w:t>
      </w:r>
    </w:p>
    <w:p w:rsidR="00121060" w:rsidRDefault="00121060" w:rsidP="00121060">
      <w:pPr>
        <w:rPr>
          <w:lang w:val="uk-UA"/>
        </w:rPr>
      </w:pPr>
      <w:r>
        <w:rPr>
          <w:lang w:val="uk-UA"/>
        </w:rPr>
        <w:t xml:space="preserve">Рекомендації щодо дозування </w:t>
      </w:r>
      <w:proofErr w:type="spellStart"/>
      <w:r>
        <w:rPr>
          <w:lang w:val="uk-UA"/>
        </w:rPr>
        <w:t>цефепіму</w:t>
      </w:r>
      <w:proofErr w:type="spellEnd"/>
      <w:r>
        <w:rPr>
          <w:lang w:val="uk-UA"/>
        </w:rPr>
        <w:t xml:space="preserve"> для дорослих з кліренсом креатиніну </w:t>
      </w:r>
      <w:r>
        <w:rPr>
          <w:i/>
          <w:lang w:val="uk-UA"/>
        </w:rPr>
        <w:t xml:space="preserve">&gt; </w:t>
      </w:r>
      <w:r>
        <w:rPr>
          <w:lang w:val="uk-UA"/>
        </w:rPr>
        <w:t>60 мл/хв.</w:t>
      </w:r>
    </w:p>
    <w:tbl>
      <w:tblPr>
        <w:tblW w:w="500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952"/>
        <w:gridCol w:w="3069"/>
        <w:gridCol w:w="1561"/>
        <w:gridCol w:w="1617"/>
      </w:tblGrid>
      <w:tr w:rsidR="00121060" w:rsidTr="00F86B47">
        <w:trPr>
          <w:tblCellSpacing w:w="15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Тип інфекції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Доза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Частота введення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Тривалість лікування</w:t>
            </w:r>
          </w:p>
        </w:tc>
      </w:tr>
      <w:tr w:rsidR="00121060" w:rsidTr="00F86B47">
        <w:trPr>
          <w:tblCellSpacing w:w="15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rPr>
                <w:lang w:val="uk-UA"/>
              </w:rPr>
            </w:pPr>
            <w:r>
              <w:rPr>
                <w:lang w:val="uk-UA"/>
              </w:rPr>
              <w:t xml:space="preserve">Пневмонія середнього і тяжкого ступеня, викликана </w:t>
            </w:r>
            <w:r>
              <w:rPr>
                <w:i/>
                <w:lang w:val="uk-UA"/>
              </w:rPr>
              <w:t>S.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pneumoniae</w:t>
            </w:r>
            <w:proofErr w:type="spellEnd"/>
            <w:r>
              <w:rPr>
                <w:i/>
                <w:lang w:val="uk-UA"/>
              </w:rPr>
              <w:t>*</w:t>
            </w:r>
            <w:r>
              <w:rPr>
                <w:lang w:val="uk-UA"/>
              </w:rPr>
              <w:t xml:space="preserve">, </w:t>
            </w:r>
            <w:r>
              <w:rPr>
                <w:i/>
                <w:lang w:val="uk-UA"/>
              </w:rPr>
              <w:t>P.</w:t>
            </w:r>
            <w:r>
              <w:rPr>
                <w:lang w:val="uk-UA"/>
              </w:rPr>
              <w:t> </w:t>
            </w:r>
            <w:proofErr w:type="spellStart"/>
            <w:r>
              <w:rPr>
                <w:i/>
                <w:lang w:val="uk-UA"/>
              </w:rPr>
              <w:t>aeruginosa</w:t>
            </w:r>
            <w:proofErr w:type="spellEnd"/>
            <w:r>
              <w:rPr>
                <w:lang w:val="uk-UA"/>
              </w:rPr>
              <w:t xml:space="preserve">, </w:t>
            </w:r>
            <w:r>
              <w:rPr>
                <w:i/>
                <w:lang w:val="uk-UA"/>
              </w:rPr>
              <w:t>K.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pneumoniae</w:t>
            </w:r>
            <w:proofErr w:type="spellEnd"/>
            <w:r>
              <w:rPr>
                <w:lang w:val="uk-UA"/>
              </w:rPr>
              <w:t xml:space="preserve"> та видами </w:t>
            </w:r>
            <w:proofErr w:type="spellStart"/>
            <w:r>
              <w:rPr>
                <w:i/>
                <w:lang w:val="uk-UA"/>
              </w:rPr>
              <w:t>Enterobacter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1–2 г внутрішньовенно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кожні </w:t>
            </w:r>
          </w:p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 годин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60" w:rsidRDefault="00121060" w:rsidP="00F86B47">
            <w:pPr>
              <w:rPr>
                <w:lang w:val="uk-UA"/>
              </w:rPr>
            </w:pPr>
            <w:r>
              <w:rPr>
                <w:lang w:val="uk-UA"/>
              </w:rPr>
              <w:t>10 днів</w:t>
            </w:r>
          </w:p>
        </w:tc>
      </w:tr>
      <w:tr w:rsidR="00121060" w:rsidTr="00F86B47">
        <w:trPr>
          <w:tblCellSpacing w:w="15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rPr>
                <w:lang w:val="uk-UA"/>
              </w:rPr>
            </w:pPr>
            <w:r>
              <w:rPr>
                <w:lang w:val="uk-UA"/>
              </w:rPr>
              <w:t xml:space="preserve">Емпірична терапія хворих на </w:t>
            </w:r>
            <w:proofErr w:type="spellStart"/>
            <w:r>
              <w:rPr>
                <w:lang w:val="uk-UA"/>
              </w:rPr>
              <w:t>нейтропенічну</w:t>
            </w:r>
            <w:proofErr w:type="spellEnd"/>
            <w:r>
              <w:rPr>
                <w:lang w:val="uk-UA"/>
              </w:rPr>
              <w:t xml:space="preserve"> гарячку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г внутрішньовенно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кожні 8 годин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60" w:rsidRDefault="00121060" w:rsidP="00F86B47">
            <w:pPr>
              <w:rPr>
                <w:lang w:val="uk-UA"/>
              </w:rPr>
            </w:pPr>
            <w:r>
              <w:rPr>
                <w:lang w:val="uk-UA"/>
              </w:rPr>
              <w:t>7 днів**</w:t>
            </w:r>
          </w:p>
        </w:tc>
      </w:tr>
      <w:tr w:rsidR="00121060" w:rsidTr="00F86B47">
        <w:trPr>
          <w:tblCellSpacing w:w="15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rPr>
                <w:lang w:val="uk-UA"/>
              </w:rPr>
            </w:pPr>
            <w:r>
              <w:rPr>
                <w:lang w:val="uk-UA"/>
              </w:rPr>
              <w:t xml:space="preserve">Неускладнені або ускладнені інфекції сечовивідних шляхів легкого і середнього ступеня тяжкості, включаючи пієлонефрит, викликаний </w:t>
            </w:r>
            <w:r>
              <w:rPr>
                <w:i/>
                <w:lang w:val="uk-UA"/>
              </w:rPr>
              <w:t>E.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coli</w:t>
            </w:r>
            <w:proofErr w:type="spellEnd"/>
            <w:r>
              <w:rPr>
                <w:i/>
                <w:lang w:val="uk-UA"/>
              </w:rPr>
              <w:t>, K.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pneumoniea</w:t>
            </w:r>
            <w:proofErr w:type="spellEnd"/>
            <w:r>
              <w:rPr>
                <w:lang w:val="uk-UA"/>
              </w:rPr>
              <w:t xml:space="preserve"> або </w:t>
            </w:r>
            <w:r>
              <w:rPr>
                <w:i/>
                <w:lang w:val="uk-UA"/>
              </w:rPr>
              <w:t>P.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mirabilis</w:t>
            </w:r>
            <w:proofErr w:type="spellEnd"/>
            <w:r>
              <w:rPr>
                <w:i/>
                <w:lang w:val="uk-UA"/>
              </w:rPr>
              <w:t>*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0,5–1 г внутрішньовенно/</w:t>
            </w:r>
          </w:p>
          <w:p w:rsidR="00121060" w:rsidRDefault="00121060" w:rsidP="00F86B47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внутрішньом’язово</w:t>
            </w:r>
            <w:proofErr w:type="spellEnd"/>
            <w:r>
              <w:rPr>
                <w:lang w:val="uk-UA"/>
              </w:rPr>
              <w:t>***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кожні </w:t>
            </w:r>
          </w:p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 годин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60" w:rsidRDefault="00121060" w:rsidP="00F86B47">
            <w:pPr>
              <w:rPr>
                <w:lang w:val="uk-UA"/>
              </w:rPr>
            </w:pPr>
            <w:r>
              <w:rPr>
                <w:lang w:val="uk-UA"/>
              </w:rPr>
              <w:t>7–10 днів</w:t>
            </w:r>
          </w:p>
        </w:tc>
      </w:tr>
      <w:tr w:rsidR="00121060" w:rsidTr="00F86B47">
        <w:trPr>
          <w:tblCellSpacing w:w="15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rPr>
                <w:lang w:val="uk-UA"/>
              </w:rPr>
            </w:pPr>
            <w:r>
              <w:rPr>
                <w:lang w:val="uk-UA"/>
              </w:rPr>
              <w:t xml:space="preserve">Тяжкі неускладнені або ускладнені інфекції сечовивідних шляхів, включаючи пієлонефрит, викликаний </w:t>
            </w:r>
            <w:r>
              <w:rPr>
                <w:i/>
                <w:lang w:val="uk-UA"/>
              </w:rPr>
              <w:t>E.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coli</w:t>
            </w:r>
            <w:proofErr w:type="spellEnd"/>
            <w:r>
              <w:rPr>
                <w:lang w:val="uk-UA"/>
              </w:rPr>
              <w:t xml:space="preserve"> або </w:t>
            </w:r>
            <w:r>
              <w:rPr>
                <w:i/>
                <w:lang w:val="uk-UA"/>
              </w:rPr>
              <w:t>K.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pneumoniea</w:t>
            </w:r>
            <w:proofErr w:type="spellEnd"/>
            <w:r>
              <w:rPr>
                <w:i/>
                <w:lang w:val="uk-UA"/>
              </w:rPr>
              <w:t>*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г внутрішньовенно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кожні </w:t>
            </w:r>
          </w:p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 годин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 днів</w:t>
            </w:r>
          </w:p>
        </w:tc>
      </w:tr>
      <w:tr w:rsidR="00121060" w:rsidTr="00F86B47">
        <w:trPr>
          <w:tblCellSpacing w:w="15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rPr>
                <w:lang w:val="uk-UA"/>
              </w:rPr>
            </w:pPr>
            <w:r>
              <w:rPr>
                <w:lang w:val="uk-UA"/>
              </w:rPr>
              <w:t xml:space="preserve">Неускладнені інфекції шкіри та м’яких тканин середнього і тяжкого ступеня, спричинені </w:t>
            </w:r>
            <w:r>
              <w:rPr>
                <w:i/>
                <w:lang w:val="uk-UA"/>
              </w:rPr>
              <w:t>S.</w:t>
            </w:r>
            <w:r>
              <w:rPr>
                <w:lang w:val="uk-UA"/>
              </w:rPr>
              <w:t> </w:t>
            </w:r>
            <w:proofErr w:type="spellStart"/>
            <w:r>
              <w:rPr>
                <w:i/>
                <w:lang w:val="uk-UA"/>
              </w:rPr>
              <w:t>aureus</w:t>
            </w:r>
            <w:proofErr w:type="spellEnd"/>
            <w:r>
              <w:rPr>
                <w:i/>
                <w:lang w:val="uk-UA"/>
              </w:rPr>
              <w:t xml:space="preserve"> </w:t>
            </w:r>
            <w:r>
              <w:rPr>
                <w:lang w:val="uk-UA"/>
              </w:rPr>
              <w:t xml:space="preserve">або </w:t>
            </w:r>
            <w:r>
              <w:rPr>
                <w:i/>
                <w:lang w:val="uk-UA"/>
              </w:rPr>
              <w:t>S.</w:t>
            </w:r>
            <w:r>
              <w:rPr>
                <w:lang w:val="uk-UA"/>
              </w:rPr>
              <w:t> </w:t>
            </w:r>
            <w:proofErr w:type="spellStart"/>
            <w:r>
              <w:rPr>
                <w:i/>
                <w:lang w:val="uk-UA"/>
              </w:rPr>
              <w:t>pyogenes</w:t>
            </w:r>
            <w:proofErr w:type="spellEnd"/>
            <w:r>
              <w:rPr>
                <w:i/>
                <w:lang w:val="uk-UA"/>
              </w:rPr>
              <w:t xml:space="preserve"> 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г внутрішньовенно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кожні </w:t>
            </w:r>
          </w:p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  годин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 днів</w:t>
            </w:r>
          </w:p>
        </w:tc>
      </w:tr>
      <w:tr w:rsidR="00121060" w:rsidTr="00F86B47">
        <w:trPr>
          <w:tblCellSpacing w:w="15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rPr>
                <w:lang w:val="uk-UA"/>
              </w:rPr>
            </w:pPr>
            <w:bookmarkStart w:id="0" w:name="_Hlk57037492"/>
            <w:r>
              <w:rPr>
                <w:lang w:val="uk-UA"/>
              </w:rPr>
              <w:t xml:space="preserve">Ускладнені </w:t>
            </w:r>
            <w:proofErr w:type="spellStart"/>
            <w:r>
              <w:rPr>
                <w:lang w:val="uk-UA"/>
              </w:rPr>
              <w:t>інтраабдомінальні</w:t>
            </w:r>
            <w:proofErr w:type="spellEnd"/>
            <w:r>
              <w:rPr>
                <w:lang w:val="uk-UA"/>
              </w:rPr>
              <w:t xml:space="preserve"> інфекції, спричинені </w:t>
            </w:r>
            <w:r>
              <w:rPr>
                <w:i/>
                <w:lang w:val="uk-UA"/>
              </w:rPr>
              <w:t>E.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coli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rStyle w:val="a4"/>
                <w:bCs/>
                <w:i w:val="0"/>
                <w:iCs w:val="0"/>
                <w:shd w:val="clear" w:color="auto" w:fill="FFFFFF"/>
                <w:lang w:val="uk-UA"/>
              </w:rPr>
              <w:t>cтрептококами</w:t>
            </w:r>
            <w:proofErr w:type="spellEnd"/>
            <w:r>
              <w:rPr>
                <w:shd w:val="clear" w:color="auto" w:fill="FFFFFF"/>
                <w:lang w:val="uk-UA"/>
              </w:rPr>
              <w:t> типу </w:t>
            </w:r>
            <w:proofErr w:type="spellStart"/>
            <w:r>
              <w:rPr>
                <w:rStyle w:val="a4"/>
                <w:bCs/>
                <w:iCs w:val="0"/>
                <w:shd w:val="clear" w:color="auto" w:fill="FFFFFF"/>
                <w:lang w:val="uk-UA"/>
              </w:rPr>
              <w:t>віриданс</w:t>
            </w:r>
            <w:proofErr w:type="spellEnd"/>
            <w:r>
              <w:rPr>
                <w:shd w:val="clear" w:color="auto" w:fill="FFFFFF"/>
                <w:lang w:val="uk-UA"/>
              </w:rPr>
              <w:t>,</w:t>
            </w:r>
            <w:r>
              <w:rPr>
                <w:rFonts w:ascii="Arial" w:hAnsi="Arial" w:cs="Arial"/>
                <w:shd w:val="clear" w:color="auto" w:fill="FFFFFF"/>
                <w:lang w:val="uk-UA"/>
              </w:rPr>
              <w:t xml:space="preserve"> </w:t>
            </w:r>
            <w:r>
              <w:rPr>
                <w:i/>
                <w:shd w:val="clear" w:color="auto" w:fill="FFFFFF"/>
                <w:lang w:val="uk-UA"/>
              </w:rPr>
              <w:t>P.</w:t>
            </w:r>
            <w:r>
              <w:rPr>
                <w:lang w:val="uk-UA"/>
              </w:rPr>
              <w:t> </w:t>
            </w:r>
            <w:proofErr w:type="spellStart"/>
            <w:r>
              <w:rPr>
                <w:i/>
                <w:shd w:val="clear" w:color="auto" w:fill="FFFFFF"/>
                <w:lang w:val="uk-UA"/>
              </w:rPr>
              <w:t>aeruginosa</w:t>
            </w:r>
            <w:proofErr w:type="spellEnd"/>
            <w:r>
              <w:rPr>
                <w:i/>
                <w:shd w:val="clear" w:color="auto" w:fill="FFFFFF"/>
                <w:lang w:val="uk-UA"/>
              </w:rPr>
              <w:t xml:space="preserve">, K. </w:t>
            </w:r>
            <w:proofErr w:type="spellStart"/>
            <w:r>
              <w:rPr>
                <w:i/>
                <w:shd w:val="clear" w:color="auto" w:fill="FFFFFF"/>
                <w:lang w:val="uk-UA"/>
              </w:rPr>
              <w:t>pneumonia</w:t>
            </w:r>
            <w:proofErr w:type="spellEnd"/>
            <w:r>
              <w:rPr>
                <w:i/>
                <w:shd w:val="clear" w:color="auto" w:fill="FFFFFF"/>
                <w:lang w:val="uk-UA"/>
              </w:rPr>
              <w:t xml:space="preserve">, </w:t>
            </w:r>
            <w:r>
              <w:rPr>
                <w:lang w:val="uk-UA"/>
              </w:rPr>
              <w:t xml:space="preserve">видами </w:t>
            </w:r>
            <w:proofErr w:type="spellStart"/>
            <w:r>
              <w:rPr>
                <w:i/>
                <w:lang w:val="uk-UA"/>
              </w:rPr>
              <w:t>Enterobacter</w:t>
            </w:r>
            <w:proofErr w:type="spellEnd"/>
            <w:r>
              <w:rPr>
                <w:i/>
                <w:lang w:val="uk-UA"/>
              </w:rPr>
              <w:t xml:space="preserve"> </w:t>
            </w:r>
            <w:r>
              <w:rPr>
                <w:lang w:val="uk-UA"/>
              </w:rPr>
              <w:t>або</w:t>
            </w:r>
            <w:r>
              <w:rPr>
                <w:i/>
                <w:lang w:val="uk-UA"/>
              </w:rPr>
              <w:t xml:space="preserve"> B. </w:t>
            </w:r>
            <w:proofErr w:type="spellStart"/>
            <w:r>
              <w:rPr>
                <w:i/>
                <w:lang w:val="uk-UA"/>
              </w:rPr>
              <w:t>fragilis</w:t>
            </w:r>
            <w:proofErr w:type="spellEnd"/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г внутрішньовенно</w:t>
            </w:r>
          </w:p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(застосовується в комбінації з </w:t>
            </w:r>
            <w:proofErr w:type="spellStart"/>
            <w:r>
              <w:rPr>
                <w:lang w:val="uk-UA"/>
              </w:rPr>
              <w:t>метронідазолом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кожні </w:t>
            </w:r>
          </w:p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 годин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7–10 днів</w:t>
            </w:r>
          </w:p>
        </w:tc>
      </w:tr>
    </w:tbl>
    <w:bookmarkEnd w:id="0"/>
    <w:p w:rsidR="00121060" w:rsidRDefault="00121060" w:rsidP="00121060">
      <w:pPr>
        <w:jc w:val="both"/>
        <w:rPr>
          <w:iCs/>
          <w:sz w:val="20"/>
          <w:szCs w:val="20"/>
          <w:lang w:val="uk-UA"/>
        </w:rPr>
      </w:pPr>
      <w:r>
        <w:rPr>
          <w:iCs/>
          <w:sz w:val="20"/>
          <w:szCs w:val="20"/>
          <w:lang w:val="uk-UA"/>
        </w:rPr>
        <w:t>*</w:t>
      </w:r>
      <w:r>
        <w:rPr>
          <w:lang w:val="uk-UA"/>
        </w:rPr>
        <w:t xml:space="preserve"> </w:t>
      </w:r>
      <w:r>
        <w:rPr>
          <w:iCs/>
          <w:sz w:val="20"/>
          <w:szCs w:val="20"/>
          <w:lang w:val="uk-UA"/>
        </w:rPr>
        <w:t xml:space="preserve">Включаючи випадки, пов’язані з асоційованою </w:t>
      </w:r>
      <w:proofErr w:type="spellStart"/>
      <w:r>
        <w:rPr>
          <w:iCs/>
          <w:sz w:val="20"/>
          <w:szCs w:val="20"/>
          <w:lang w:val="uk-UA"/>
        </w:rPr>
        <w:t>бактеріємією</w:t>
      </w:r>
      <w:proofErr w:type="spellEnd"/>
    </w:p>
    <w:p w:rsidR="00121060" w:rsidRDefault="00121060" w:rsidP="00121060">
      <w:pPr>
        <w:jc w:val="both"/>
        <w:rPr>
          <w:iCs/>
          <w:sz w:val="20"/>
          <w:szCs w:val="20"/>
          <w:lang w:val="uk-UA"/>
        </w:rPr>
      </w:pPr>
      <w:r>
        <w:rPr>
          <w:iCs/>
          <w:sz w:val="20"/>
          <w:szCs w:val="20"/>
          <w:lang w:val="uk-UA"/>
        </w:rPr>
        <w:t xml:space="preserve">**  Або до зникнення </w:t>
      </w:r>
      <w:proofErr w:type="spellStart"/>
      <w:r>
        <w:rPr>
          <w:iCs/>
          <w:sz w:val="20"/>
          <w:szCs w:val="20"/>
          <w:lang w:val="uk-UA"/>
        </w:rPr>
        <w:t>нейтропенії</w:t>
      </w:r>
      <w:proofErr w:type="spellEnd"/>
      <w:r>
        <w:rPr>
          <w:iCs/>
          <w:sz w:val="20"/>
          <w:szCs w:val="20"/>
          <w:lang w:val="uk-UA"/>
        </w:rPr>
        <w:t xml:space="preserve">. Для пацієнтів, у яких гарячка проходить, але залишається </w:t>
      </w:r>
      <w:proofErr w:type="spellStart"/>
      <w:r>
        <w:rPr>
          <w:iCs/>
          <w:sz w:val="20"/>
          <w:szCs w:val="20"/>
          <w:lang w:val="uk-UA"/>
        </w:rPr>
        <w:t>нейтропенія</w:t>
      </w:r>
      <w:proofErr w:type="spellEnd"/>
      <w:r>
        <w:rPr>
          <w:iCs/>
          <w:sz w:val="20"/>
          <w:szCs w:val="20"/>
          <w:lang w:val="uk-UA"/>
        </w:rPr>
        <w:t xml:space="preserve"> більш ніж на 7 днів, необхідність продовження антибактеріальної терапії потрібно переглянути.</w:t>
      </w:r>
    </w:p>
    <w:p w:rsidR="00121060" w:rsidRDefault="00121060" w:rsidP="00121060">
      <w:pPr>
        <w:jc w:val="both"/>
        <w:rPr>
          <w:iCs/>
          <w:sz w:val="20"/>
          <w:szCs w:val="20"/>
          <w:lang w:val="uk-UA"/>
        </w:rPr>
      </w:pPr>
      <w:r>
        <w:rPr>
          <w:iCs/>
          <w:sz w:val="20"/>
          <w:szCs w:val="20"/>
          <w:lang w:val="uk-UA"/>
        </w:rPr>
        <w:t xml:space="preserve">*** </w:t>
      </w:r>
      <w:proofErr w:type="spellStart"/>
      <w:r>
        <w:rPr>
          <w:iCs/>
          <w:sz w:val="20"/>
          <w:szCs w:val="20"/>
          <w:lang w:val="uk-UA"/>
        </w:rPr>
        <w:t>Внутрішньом</w:t>
      </w:r>
      <w:r>
        <w:rPr>
          <w:lang w:val="uk-UA"/>
        </w:rPr>
        <w:t>’</w:t>
      </w:r>
      <w:r>
        <w:rPr>
          <w:iCs/>
          <w:sz w:val="20"/>
          <w:szCs w:val="20"/>
          <w:lang w:val="uk-UA"/>
        </w:rPr>
        <w:t>язовий</w:t>
      </w:r>
      <w:proofErr w:type="spellEnd"/>
      <w:r>
        <w:rPr>
          <w:iCs/>
          <w:sz w:val="20"/>
          <w:szCs w:val="20"/>
          <w:lang w:val="uk-UA"/>
        </w:rPr>
        <w:t xml:space="preserve"> спосіб введення застосовується тільки у разі </w:t>
      </w:r>
      <w:r>
        <w:rPr>
          <w:sz w:val="20"/>
          <w:szCs w:val="20"/>
          <w:lang w:val="uk-UA"/>
        </w:rPr>
        <w:t xml:space="preserve">неускладнених або ускладнених інфекцій, спричинених </w:t>
      </w:r>
      <w:r>
        <w:rPr>
          <w:i/>
          <w:sz w:val="20"/>
          <w:szCs w:val="20"/>
          <w:lang w:val="uk-UA"/>
        </w:rPr>
        <w:t xml:space="preserve">E. </w:t>
      </w:r>
      <w:proofErr w:type="spellStart"/>
      <w:r>
        <w:rPr>
          <w:i/>
          <w:sz w:val="20"/>
          <w:szCs w:val="20"/>
          <w:lang w:val="uk-UA"/>
        </w:rPr>
        <w:t>coli</w:t>
      </w:r>
      <w:proofErr w:type="spellEnd"/>
      <w:r>
        <w:rPr>
          <w:sz w:val="20"/>
          <w:szCs w:val="20"/>
          <w:lang w:val="uk-UA"/>
        </w:rPr>
        <w:t>, легкого та середнього ступеня тяжкості, коли такий спосіб введення вважається більш підходящим.</w:t>
      </w:r>
    </w:p>
    <w:p w:rsidR="00121060" w:rsidRDefault="00121060" w:rsidP="00121060">
      <w:pPr>
        <w:jc w:val="both"/>
        <w:rPr>
          <w:i/>
          <w:iCs/>
          <w:sz w:val="12"/>
          <w:lang w:val="uk-UA"/>
        </w:rPr>
      </w:pPr>
    </w:p>
    <w:p w:rsidR="00121060" w:rsidRDefault="00121060" w:rsidP="00121060">
      <w:pPr>
        <w:jc w:val="both"/>
        <w:rPr>
          <w:lang w:val="uk-UA"/>
        </w:rPr>
      </w:pPr>
      <w:r>
        <w:rPr>
          <w:i/>
          <w:iCs/>
          <w:lang w:val="uk-UA"/>
        </w:rPr>
        <w:t xml:space="preserve">Для профілактики розвитку інфекцій при проведенні хірургічних утручань. </w:t>
      </w:r>
      <w:r>
        <w:rPr>
          <w:lang w:val="uk-UA"/>
        </w:rPr>
        <w:t xml:space="preserve">За 60 хвилин до початку хірургічної операції дорослим вводити 2 г препарату внутрішньовенно протягом 30 хвилин. Після завершення введення додатково вводиться 500 мг </w:t>
      </w:r>
      <w:proofErr w:type="spellStart"/>
      <w:r>
        <w:rPr>
          <w:lang w:val="uk-UA"/>
        </w:rPr>
        <w:t>метронідазолу</w:t>
      </w:r>
      <w:proofErr w:type="spellEnd"/>
      <w:r>
        <w:rPr>
          <w:lang w:val="uk-UA"/>
        </w:rPr>
        <w:t xml:space="preserve"> внутрішньовенно. Розчини </w:t>
      </w:r>
      <w:proofErr w:type="spellStart"/>
      <w:r>
        <w:rPr>
          <w:lang w:val="uk-UA"/>
        </w:rPr>
        <w:t>метронідазолу</w:t>
      </w:r>
      <w:proofErr w:type="spellEnd"/>
      <w:r>
        <w:rPr>
          <w:lang w:val="uk-UA"/>
        </w:rPr>
        <w:t xml:space="preserve"> не слід вводити одночасно з </w:t>
      </w:r>
      <w:proofErr w:type="spellStart"/>
      <w:r>
        <w:rPr>
          <w:lang w:val="uk-UA"/>
        </w:rPr>
        <w:t>цефепімом</w:t>
      </w:r>
      <w:proofErr w:type="spellEnd"/>
      <w:r>
        <w:rPr>
          <w:lang w:val="uk-UA"/>
        </w:rPr>
        <w:t xml:space="preserve">. Систему для </w:t>
      </w:r>
      <w:proofErr w:type="spellStart"/>
      <w:r>
        <w:rPr>
          <w:lang w:val="uk-UA"/>
        </w:rPr>
        <w:t>інфузії</w:t>
      </w:r>
      <w:proofErr w:type="spellEnd"/>
      <w:r>
        <w:rPr>
          <w:lang w:val="uk-UA"/>
        </w:rPr>
        <w:t xml:space="preserve"> перед введенням </w:t>
      </w:r>
      <w:proofErr w:type="spellStart"/>
      <w:r>
        <w:rPr>
          <w:lang w:val="uk-UA"/>
        </w:rPr>
        <w:t>метронідазолу</w:t>
      </w:r>
      <w:proofErr w:type="spellEnd"/>
      <w:r>
        <w:rPr>
          <w:lang w:val="uk-UA"/>
        </w:rPr>
        <w:t xml:space="preserve"> слід промити.</w:t>
      </w:r>
    </w:p>
    <w:p w:rsidR="00121060" w:rsidRDefault="00121060" w:rsidP="00121060">
      <w:pPr>
        <w:jc w:val="both"/>
        <w:rPr>
          <w:lang w:val="uk-UA"/>
        </w:rPr>
      </w:pPr>
      <w:r>
        <w:rPr>
          <w:lang w:val="uk-UA"/>
        </w:rPr>
        <w:t xml:space="preserve">Під час тривалих (понад 12 годин) хірургічних операцій через 12 годин після першої дози рекомендується повторне введення такої ж дози </w:t>
      </w:r>
      <w:proofErr w:type="spellStart"/>
      <w:r>
        <w:rPr>
          <w:lang w:val="uk-UA"/>
        </w:rPr>
        <w:t>цефепіму</w:t>
      </w:r>
      <w:proofErr w:type="spellEnd"/>
      <w:r>
        <w:rPr>
          <w:lang w:val="uk-UA"/>
        </w:rPr>
        <w:t xml:space="preserve"> з подальшим введенням </w:t>
      </w:r>
      <w:proofErr w:type="spellStart"/>
      <w:r>
        <w:rPr>
          <w:lang w:val="uk-UA"/>
        </w:rPr>
        <w:t>метронідазолу</w:t>
      </w:r>
      <w:proofErr w:type="spellEnd"/>
      <w:r>
        <w:rPr>
          <w:lang w:val="uk-UA"/>
        </w:rPr>
        <w:t>.</w:t>
      </w:r>
    </w:p>
    <w:p w:rsidR="00121060" w:rsidRDefault="00121060" w:rsidP="00121060">
      <w:pPr>
        <w:jc w:val="both"/>
        <w:rPr>
          <w:lang w:val="uk-UA"/>
        </w:rPr>
      </w:pPr>
      <w:r>
        <w:rPr>
          <w:i/>
          <w:iCs/>
          <w:lang w:val="uk-UA"/>
        </w:rPr>
        <w:t xml:space="preserve">Порушення функції нирок. </w:t>
      </w:r>
      <w:r>
        <w:rPr>
          <w:lang w:val="uk-UA"/>
        </w:rPr>
        <w:t xml:space="preserve">Для хворих із порушеннями функції нирок (кліренс креатиніну  менше 30 мл/хв) дозу препарату необхідно відкоригувати. Рекомендовані дози </w:t>
      </w:r>
      <w:proofErr w:type="spellStart"/>
      <w:r>
        <w:rPr>
          <w:lang w:val="uk-UA"/>
        </w:rPr>
        <w:t>цефепіму</w:t>
      </w:r>
      <w:proofErr w:type="spellEnd"/>
      <w:r>
        <w:rPr>
          <w:lang w:val="uk-UA"/>
        </w:rPr>
        <w:t xml:space="preserve"> для дорослих наведені у таблиці 3.</w:t>
      </w:r>
    </w:p>
    <w:p w:rsidR="00121060" w:rsidRDefault="00121060" w:rsidP="00121060">
      <w:pPr>
        <w:jc w:val="both"/>
        <w:rPr>
          <w:sz w:val="12"/>
          <w:lang w:val="uk-UA"/>
        </w:rPr>
      </w:pPr>
    </w:p>
    <w:p w:rsidR="00121060" w:rsidRDefault="00121060" w:rsidP="00121060">
      <w:pPr>
        <w:jc w:val="right"/>
        <w:rPr>
          <w:lang w:val="uk-UA"/>
        </w:rPr>
      </w:pPr>
      <w:r>
        <w:rPr>
          <w:lang w:val="uk-UA"/>
        </w:rPr>
        <w:t xml:space="preserve">Таблиця 3. </w:t>
      </w:r>
    </w:p>
    <w:p w:rsidR="00121060" w:rsidRDefault="00121060" w:rsidP="00121060">
      <w:pPr>
        <w:rPr>
          <w:szCs w:val="20"/>
          <w:lang w:val="uk-UA"/>
        </w:rPr>
      </w:pPr>
      <w:r>
        <w:rPr>
          <w:lang w:val="uk-UA"/>
        </w:rPr>
        <w:t xml:space="preserve">Рекомендовані дози </w:t>
      </w:r>
      <w:proofErr w:type="spellStart"/>
      <w:r>
        <w:rPr>
          <w:lang w:val="uk-UA"/>
        </w:rPr>
        <w:t>цефепіму</w:t>
      </w:r>
      <w:proofErr w:type="spellEnd"/>
      <w:r>
        <w:rPr>
          <w:lang w:val="uk-UA"/>
        </w:rPr>
        <w:t xml:space="preserve"> для дорослих </w:t>
      </w:r>
      <w:r>
        <w:rPr>
          <w:szCs w:val="20"/>
          <w:lang w:val="uk-UA"/>
        </w:rPr>
        <w:t>пацієнтів з порушенням функції нирок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404"/>
        <w:gridCol w:w="2144"/>
        <w:gridCol w:w="2146"/>
        <w:gridCol w:w="2186"/>
        <w:gridCol w:w="2309"/>
      </w:tblGrid>
      <w:tr w:rsidR="00121060" w:rsidTr="00F86B47">
        <w:trPr>
          <w:trHeight w:val="85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Кліренс креатиніну (мл/хв)</w:t>
            </w:r>
          </w:p>
        </w:tc>
        <w:tc>
          <w:tcPr>
            <w:tcW w:w="4280" w:type="pct"/>
            <w:gridSpan w:val="4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Рекомендовані підтримувальні дози</w:t>
            </w:r>
          </w:p>
        </w:tc>
      </w:tr>
      <w:tr w:rsidR="00121060" w:rsidTr="00F86B47">
        <w:trPr>
          <w:tblCellSpacing w:w="15" w:type="dxa"/>
        </w:trPr>
        <w:tc>
          <w:tcPr>
            <w:tcW w:w="672" w:type="pct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&gt; 60</w:t>
            </w:r>
          </w:p>
        </w:tc>
        <w:tc>
          <w:tcPr>
            <w:tcW w:w="428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Звичайне дозування відповідно до тяжкості інфекції,</w:t>
            </w:r>
          </w:p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коригування дози не потрібно</w:t>
            </w:r>
          </w:p>
        </w:tc>
      </w:tr>
      <w:tr w:rsidR="00121060" w:rsidTr="00F86B4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21060" w:rsidRDefault="00121060" w:rsidP="00F86B47">
            <w:pPr>
              <w:rPr>
                <w:lang w:val="uk-UA"/>
              </w:rPr>
            </w:pP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 мг кожні</w:t>
            </w:r>
          </w:p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 годин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г кожні</w:t>
            </w:r>
          </w:p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 годин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г кожні</w:t>
            </w:r>
          </w:p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 годин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г кожні</w:t>
            </w:r>
          </w:p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 годин</w:t>
            </w:r>
          </w:p>
        </w:tc>
      </w:tr>
      <w:tr w:rsidR="00121060" w:rsidTr="00F86B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30–60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 мг кожні</w:t>
            </w:r>
          </w:p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 години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г кожні</w:t>
            </w:r>
          </w:p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 години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г кожні</w:t>
            </w:r>
          </w:p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 години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г кожні</w:t>
            </w:r>
          </w:p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 годин</w:t>
            </w:r>
          </w:p>
        </w:tc>
      </w:tr>
      <w:tr w:rsidR="00121060" w:rsidTr="00F86B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11–29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 мг кожні</w:t>
            </w:r>
          </w:p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 години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 мг кожні</w:t>
            </w:r>
          </w:p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 години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 г кожні </w:t>
            </w:r>
          </w:p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 години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 г кожні </w:t>
            </w:r>
          </w:p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 години</w:t>
            </w:r>
          </w:p>
        </w:tc>
      </w:tr>
      <w:tr w:rsidR="00121060" w:rsidTr="00F86B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≤ 11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 мг кожні</w:t>
            </w:r>
          </w:p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 години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 мг кожні</w:t>
            </w:r>
          </w:p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 години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 мг кожні</w:t>
            </w:r>
          </w:p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 години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 г кожні </w:t>
            </w:r>
          </w:p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 години</w:t>
            </w:r>
          </w:p>
        </w:tc>
      </w:tr>
      <w:tr w:rsidR="00121060" w:rsidTr="00F86B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ПАПД**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 мг кожні</w:t>
            </w:r>
          </w:p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 годин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 г кожні </w:t>
            </w:r>
          </w:p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 годин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 г кожні </w:t>
            </w:r>
          </w:p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 годин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 г кожні </w:t>
            </w:r>
          </w:p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 годин</w:t>
            </w:r>
          </w:p>
        </w:tc>
      </w:tr>
      <w:tr w:rsidR="00121060" w:rsidTr="00F86B47">
        <w:trPr>
          <w:trHeight w:val="1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Гемодіаліз*</w:t>
            </w:r>
          </w:p>
        </w:tc>
        <w:tc>
          <w:tcPr>
            <w:tcW w:w="31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г в день, потім 500 мг кожні 24 години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 г кожні </w:t>
            </w:r>
          </w:p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 години</w:t>
            </w:r>
          </w:p>
        </w:tc>
      </w:tr>
    </w:tbl>
    <w:p w:rsidR="00121060" w:rsidRDefault="00121060" w:rsidP="00121060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*У дні проведення гемодіалізу </w:t>
      </w:r>
      <w:proofErr w:type="spellStart"/>
      <w:r>
        <w:rPr>
          <w:sz w:val="20"/>
          <w:szCs w:val="20"/>
          <w:lang w:val="uk-UA"/>
        </w:rPr>
        <w:t>цефепім</w:t>
      </w:r>
      <w:proofErr w:type="spellEnd"/>
      <w:r>
        <w:rPr>
          <w:sz w:val="20"/>
          <w:szCs w:val="20"/>
          <w:lang w:val="uk-UA"/>
        </w:rPr>
        <w:t xml:space="preserve"> слід застосовувати, як описано в таблиці 3. Якщо це можливо, </w:t>
      </w:r>
      <w:proofErr w:type="spellStart"/>
      <w:r>
        <w:rPr>
          <w:sz w:val="20"/>
          <w:szCs w:val="20"/>
          <w:lang w:val="uk-UA"/>
        </w:rPr>
        <w:t>цефепім</w:t>
      </w:r>
      <w:proofErr w:type="spellEnd"/>
      <w:r>
        <w:rPr>
          <w:sz w:val="20"/>
          <w:szCs w:val="20"/>
          <w:lang w:val="uk-UA"/>
        </w:rPr>
        <w:t xml:space="preserve"> слід вводити в один і той же час кожного дня. </w:t>
      </w:r>
    </w:p>
    <w:p w:rsidR="00121060" w:rsidRDefault="00121060" w:rsidP="00121060">
      <w:pPr>
        <w:jc w:val="both"/>
        <w:rPr>
          <w:sz w:val="20"/>
          <w:szCs w:val="20"/>
          <w:lang w:val="uk-UA"/>
        </w:rPr>
      </w:pPr>
      <w:r>
        <w:rPr>
          <w:shd w:val="clear" w:color="auto" w:fill="FFFFFF"/>
          <w:lang w:val="uk-UA"/>
        </w:rPr>
        <w:t>**</w:t>
      </w:r>
      <w:r>
        <w:rPr>
          <w:rStyle w:val="a4"/>
          <w:bCs/>
          <w:i w:val="0"/>
          <w:iCs w:val="0"/>
          <w:sz w:val="20"/>
          <w:szCs w:val="20"/>
          <w:shd w:val="clear" w:color="auto" w:fill="FFFFFF"/>
          <w:lang w:val="uk-UA"/>
        </w:rPr>
        <w:t xml:space="preserve"> П</w:t>
      </w:r>
      <w:r w:rsidRPr="00121060">
        <w:rPr>
          <w:rStyle w:val="a4"/>
          <w:bCs/>
          <w:i w:val="0"/>
          <w:iCs w:val="0"/>
          <w:sz w:val="20"/>
          <w:szCs w:val="20"/>
          <w:shd w:val="clear" w:color="auto" w:fill="FFFFFF"/>
          <w:lang w:val="uk-UA"/>
        </w:rPr>
        <w:t>остійний амбулаторний перитонеальний діаліз</w:t>
      </w:r>
      <w:r>
        <w:rPr>
          <w:rStyle w:val="a4"/>
          <w:bCs/>
          <w:i w:val="0"/>
          <w:iCs w:val="0"/>
          <w:sz w:val="20"/>
          <w:szCs w:val="20"/>
          <w:shd w:val="clear" w:color="auto" w:fill="FFFFFF"/>
          <w:lang w:val="uk-UA"/>
        </w:rPr>
        <w:t>.</w:t>
      </w:r>
    </w:p>
    <w:p w:rsidR="00121060" w:rsidRPr="00121060" w:rsidRDefault="00121060" w:rsidP="00121060">
      <w:pPr>
        <w:jc w:val="both"/>
        <w:rPr>
          <w:rFonts w:ascii="Calibri Light" w:hAnsi="Calibri Light" w:cs="Calibri Light"/>
          <w:i/>
          <w:sz w:val="32"/>
          <w:shd w:val="clear" w:color="auto" w:fill="FFFFFF"/>
          <w:lang w:val="uk-UA"/>
        </w:rPr>
      </w:pPr>
    </w:p>
    <w:p w:rsidR="00121060" w:rsidRDefault="00121060" w:rsidP="00121060">
      <w:pPr>
        <w:jc w:val="both"/>
        <w:rPr>
          <w:sz w:val="12"/>
          <w:lang w:val="uk-UA"/>
        </w:rPr>
      </w:pPr>
    </w:p>
    <w:p w:rsidR="00121060" w:rsidRDefault="00121060" w:rsidP="00121060">
      <w:pPr>
        <w:jc w:val="both"/>
        <w:rPr>
          <w:lang w:val="uk-UA"/>
        </w:rPr>
      </w:pPr>
      <w:r>
        <w:rPr>
          <w:lang w:val="uk-UA"/>
        </w:rPr>
        <w:t>Якщо відома тільки концентрація креатиніну в сироватці крові, тоді кліренс креатиніну можна визначати за наведеною нижче формулою:</w:t>
      </w:r>
    </w:p>
    <w:p w:rsidR="00121060" w:rsidRDefault="00121060" w:rsidP="00121060">
      <w:pPr>
        <w:jc w:val="both"/>
        <w:rPr>
          <w:i/>
          <w:iCs/>
          <w:lang w:val="uk-UA"/>
        </w:rPr>
      </w:pPr>
      <w:r>
        <w:rPr>
          <w:i/>
          <w:iCs/>
          <w:lang w:val="uk-UA"/>
        </w:rPr>
        <w:t>Чоловіки:</w:t>
      </w:r>
    </w:p>
    <w:p w:rsidR="00121060" w:rsidRDefault="00121060" w:rsidP="00121060">
      <w:pPr>
        <w:jc w:val="both"/>
        <w:rPr>
          <w:sz w:val="22"/>
          <w:lang w:val="uk-UA"/>
        </w:rPr>
      </w:pPr>
      <w:r>
        <w:rPr>
          <w:sz w:val="22"/>
          <w:lang w:val="uk-UA"/>
        </w:rPr>
        <w:t>                                                      маса тіла (кг) × (140 – вік)</w:t>
      </w:r>
    </w:p>
    <w:p w:rsidR="00121060" w:rsidRDefault="00121060" w:rsidP="00121060">
      <w:pPr>
        <w:jc w:val="both"/>
        <w:rPr>
          <w:sz w:val="22"/>
          <w:lang w:val="uk-UA"/>
        </w:rPr>
      </w:pPr>
      <w:r>
        <w:rPr>
          <w:sz w:val="22"/>
          <w:lang w:val="uk-UA"/>
        </w:rPr>
        <w:t>кліренс креатиніну (мл/хв) = ---------------------------------------------------</w:t>
      </w:r>
    </w:p>
    <w:p w:rsidR="00121060" w:rsidRDefault="00121060" w:rsidP="00121060">
      <w:pPr>
        <w:jc w:val="both"/>
        <w:rPr>
          <w:sz w:val="22"/>
          <w:lang w:val="uk-UA"/>
        </w:rPr>
      </w:pPr>
      <w:r>
        <w:rPr>
          <w:sz w:val="22"/>
          <w:lang w:val="uk-UA"/>
        </w:rPr>
        <w:t>                                                   72 × креатинін сироватки крові (мг/</w:t>
      </w:r>
      <w:proofErr w:type="spellStart"/>
      <w:r>
        <w:rPr>
          <w:sz w:val="22"/>
          <w:lang w:val="uk-UA"/>
        </w:rPr>
        <w:t>дл</w:t>
      </w:r>
      <w:proofErr w:type="spellEnd"/>
      <w:r>
        <w:rPr>
          <w:sz w:val="22"/>
          <w:lang w:val="uk-UA"/>
        </w:rPr>
        <w:t>)</w:t>
      </w:r>
    </w:p>
    <w:p w:rsidR="00121060" w:rsidRDefault="00121060" w:rsidP="00121060">
      <w:pPr>
        <w:jc w:val="both"/>
        <w:rPr>
          <w:i/>
          <w:iCs/>
          <w:lang w:val="uk-UA"/>
        </w:rPr>
      </w:pPr>
      <w:r>
        <w:rPr>
          <w:i/>
          <w:iCs/>
          <w:lang w:val="uk-UA"/>
        </w:rPr>
        <w:t>Жінки:</w:t>
      </w:r>
    </w:p>
    <w:p w:rsidR="00121060" w:rsidRDefault="00121060" w:rsidP="00121060">
      <w:pPr>
        <w:jc w:val="both"/>
        <w:rPr>
          <w:sz w:val="22"/>
          <w:lang w:val="uk-UA"/>
        </w:rPr>
      </w:pPr>
      <w:r>
        <w:rPr>
          <w:sz w:val="22"/>
          <w:lang w:val="uk-UA"/>
        </w:rPr>
        <w:t>кліренс креатиніну (мл/хв) = значення, вирахуване за вищенаведеною формулою × 0,85</w:t>
      </w:r>
    </w:p>
    <w:p w:rsidR="00121060" w:rsidRDefault="00121060" w:rsidP="00121060">
      <w:pPr>
        <w:jc w:val="both"/>
        <w:rPr>
          <w:lang w:val="uk-UA"/>
        </w:rPr>
      </w:pPr>
    </w:p>
    <w:p w:rsidR="00121060" w:rsidRDefault="00121060" w:rsidP="00121060">
      <w:pPr>
        <w:jc w:val="both"/>
        <w:rPr>
          <w:lang w:val="uk-UA"/>
        </w:rPr>
      </w:pPr>
      <w:r>
        <w:rPr>
          <w:lang w:val="uk-UA"/>
        </w:rPr>
        <w:t>При гемодіалізі за 3 години з організму виділяється приблизно 68 % дози препарату. Після завершення кожного сеансу діалізу необхідно вводити повторну дозу, що дорівнює початковій дозі. При безперервному амбулаторному перитонеальному діалізі лікарський засіб можна застосовувати у початкових нормальних рекомендованих дозах 500 мг, 1 г або 2 г, залежно від тяжкості інфекції, з інтервалом між дозами 48 годин.</w:t>
      </w:r>
    </w:p>
    <w:p w:rsidR="00121060" w:rsidRDefault="00121060" w:rsidP="00121060">
      <w:pPr>
        <w:jc w:val="both"/>
        <w:rPr>
          <w:lang w:val="uk-UA"/>
        </w:rPr>
      </w:pPr>
      <w:r>
        <w:rPr>
          <w:lang w:val="uk-UA"/>
        </w:rPr>
        <w:t xml:space="preserve">Дітям віком 1–2 місяці препарат призначати тільки за життєвими показаннями. Стан дітей з масою тіла до 40 кг, які отримують лікування </w:t>
      </w:r>
      <w:proofErr w:type="spellStart"/>
      <w:r>
        <w:rPr>
          <w:lang w:val="uk-UA"/>
        </w:rPr>
        <w:t>цефепімом</w:t>
      </w:r>
      <w:proofErr w:type="spellEnd"/>
      <w:r>
        <w:rPr>
          <w:lang w:val="uk-UA"/>
        </w:rPr>
        <w:t>, потрібно постійно контролювати.</w:t>
      </w:r>
    </w:p>
    <w:p w:rsidR="00121060" w:rsidRDefault="00121060" w:rsidP="00121060">
      <w:pPr>
        <w:jc w:val="both"/>
        <w:rPr>
          <w:lang w:val="uk-UA"/>
        </w:rPr>
      </w:pPr>
      <w:r>
        <w:rPr>
          <w:lang w:val="uk-UA"/>
        </w:rPr>
        <w:t>Дітям при порушеній функції нирок рекомендується зменшення дози або збільшення інтервалу між введенням.</w:t>
      </w:r>
    </w:p>
    <w:p w:rsidR="00121060" w:rsidRDefault="00121060" w:rsidP="00121060">
      <w:pPr>
        <w:jc w:val="both"/>
        <w:rPr>
          <w:lang w:val="uk-UA"/>
        </w:rPr>
      </w:pPr>
      <w:r>
        <w:rPr>
          <w:lang w:val="uk-UA"/>
        </w:rPr>
        <w:t>Розрахунок показників кліренсу креатиніну у дітей:</w:t>
      </w:r>
    </w:p>
    <w:p w:rsidR="00121060" w:rsidRDefault="00121060" w:rsidP="00121060">
      <w:pPr>
        <w:jc w:val="both"/>
        <w:rPr>
          <w:sz w:val="12"/>
          <w:lang w:val="uk-UA"/>
        </w:rPr>
      </w:pPr>
    </w:p>
    <w:p w:rsidR="00121060" w:rsidRDefault="00121060" w:rsidP="00121060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                                                  0,55 × зріст (см)</w:t>
      </w:r>
    </w:p>
    <w:p w:rsidR="00121060" w:rsidRDefault="00121060" w:rsidP="00121060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кліренс креатиніну (мл/хв/1,73 м</w:t>
      </w:r>
      <w:r>
        <w:rPr>
          <w:sz w:val="22"/>
          <w:vertAlign w:val="superscript"/>
          <w:lang w:val="uk-UA"/>
        </w:rPr>
        <w:t>2</w:t>
      </w:r>
      <w:r>
        <w:rPr>
          <w:sz w:val="22"/>
          <w:lang w:val="uk-UA"/>
        </w:rPr>
        <w:t>) = -----------------------------------------</w:t>
      </w:r>
    </w:p>
    <w:p w:rsidR="00121060" w:rsidRDefault="00121060" w:rsidP="00121060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                                                                 сироватковий креатинін (мг/</w:t>
      </w:r>
      <w:proofErr w:type="spellStart"/>
      <w:r>
        <w:rPr>
          <w:sz w:val="22"/>
          <w:lang w:val="uk-UA"/>
        </w:rPr>
        <w:t>дл</w:t>
      </w:r>
      <w:proofErr w:type="spellEnd"/>
      <w:r>
        <w:rPr>
          <w:sz w:val="22"/>
          <w:lang w:val="uk-UA"/>
        </w:rPr>
        <w:t>)</w:t>
      </w:r>
    </w:p>
    <w:p w:rsidR="00121060" w:rsidRDefault="00121060" w:rsidP="00121060">
      <w:pPr>
        <w:jc w:val="both"/>
        <w:rPr>
          <w:lang w:val="uk-UA"/>
        </w:rPr>
      </w:pPr>
    </w:p>
    <w:p w:rsidR="00121060" w:rsidRDefault="00121060" w:rsidP="00121060">
      <w:pPr>
        <w:jc w:val="both"/>
        <w:rPr>
          <w:sz w:val="22"/>
          <w:lang w:val="uk-UA"/>
        </w:rPr>
      </w:pPr>
      <w:r>
        <w:rPr>
          <w:lang w:val="uk-UA"/>
        </w:rPr>
        <w:t>або</w:t>
      </w:r>
    </w:p>
    <w:p w:rsidR="00121060" w:rsidRDefault="00121060" w:rsidP="00121060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                                           0,52 × зріст (см)</w:t>
      </w:r>
    </w:p>
    <w:p w:rsidR="00121060" w:rsidRDefault="00121060" w:rsidP="00121060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кліренс креатиніну (мл/хв/1,73 м</w:t>
      </w:r>
      <w:r>
        <w:rPr>
          <w:sz w:val="22"/>
          <w:vertAlign w:val="superscript"/>
          <w:lang w:val="uk-UA"/>
        </w:rPr>
        <w:t>2</w:t>
      </w:r>
      <w:r>
        <w:rPr>
          <w:sz w:val="22"/>
          <w:lang w:val="uk-UA"/>
        </w:rPr>
        <w:t>) = ------------------------------------------  –  3,6</w:t>
      </w:r>
    </w:p>
    <w:p w:rsidR="00121060" w:rsidRDefault="00121060" w:rsidP="00121060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                                                      сироватковий креатинін (мг/</w:t>
      </w:r>
      <w:proofErr w:type="spellStart"/>
      <w:r>
        <w:rPr>
          <w:sz w:val="22"/>
          <w:lang w:val="uk-UA"/>
        </w:rPr>
        <w:t>дл</w:t>
      </w:r>
      <w:proofErr w:type="spellEnd"/>
      <w:r>
        <w:rPr>
          <w:sz w:val="22"/>
          <w:lang w:val="uk-UA"/>
        </w:rPr>
        <w:t>)</w:t>
      </w:r>
    </w:p>
    <w:p w:rsidR="00121060" w:rsidRDefault="00121060" w:rsidP="00121060">
      <w:pPr>
        <w:jc w:val="center"/>
        <w:rPr>
          <w:sz w:val="12"/>
          <w:lang w:val="uk-UA"/>
        </w:rPr>
      </w:pPr>
    </w:p>
    <w:p w:rsidR="00121060" w:rsidRDefault="00121060" w:rsidP="00121060">
      <w:pPr>
        <w:jc w:val="both"/>
        <w:rPr>
          <w:lang w:val="uk-UA"/>
        </w:rPr>
      </w:pPr>
      <w:r>
        <w:rPr>
          <w:i/>
          <w:iCs/>
          <w:lang w:val="uk-UA"/>
        </w:rPr>
        <w:t xml:space="preserve">Діти віком від 1 до 2 місяців. </w:t>
      </w:r>
      <w:proofErr w:type="spellStart"/>
      <w:r>
        <w:rPr>
          <w:lang w:val="uk-UA"/>
        </w:rPr>
        <w:t>Цефепім</w:t>
      </w:r>
      <w:proofErr w:type="spellEnd"/>
      <w:r>
        <w:rPr>
          <w:lang w:val="uk-UA"/>
        </w:rPr>
        <w:t xml:space="preserve"> призначати тільки за життєвими показаннями у дозі 30 мг/кг маси тіла кожні 12 або 8 годин залежно від тяжкості інфекції.</w:t>
      </w:r>
    </w:p>
    <w:p w:rsidR="00121060" w:rsidRDefault="00121060" w:rsidP="00121060">
      <w:pPr>
        <w:jc w:val="both"/>
        <w:rPr>
          <w:lang w:val="uk-UA"/>
        </w:rPr>
      </w:pPr>
      <w:r>
        <w:rPr>
          <w:i/>
          <w:iCs/>
          <w:lang w:val="uk-UA"/>
        </w:rPr>
        <w:t>Діти віком від 2 місяців</w:t>
      </w:r>
      <w:r>
        <w:rPr>
          <w:bCs/>
          <w:i/>
          <w:iCs/>
          <w:lang w:val="uk-UA"/>
        </w:rPr>
        <w:t>.</w:t>
      </w:r>
      <w:r>
        <w:rPr>
          <w:b/>
          <w:bCs/>
          <w:i/>
          <w:iCs/>
          <w:lang w:val="uk-UA"/>
        </w:rPr>
        <w:t xml:space="preserve"> </w:t>
      </w:r>
      <w:r>
        <w:rPr>
          <w:lang w:val="uk-UA"/>
        </w:rPr>
        <w:t xml:space="preserve">Максимальна доза для дітей не повинна перевищувати  рекомендовану дозу для дорослих.  Звичайна рекомендована доза для дітей з масою тіла до 40 кг у разі ускладнених </w:t>
      </w:r>
      <w:r>
        <w:rPr>
          <w:lang w:val="uk-UA"/>
        </w:rPr>
        <w:lastRenderedPageBreak/>
        <w:t xml:space="preserve">або неускладнених інфекцій сечовивідних шляхів (включаючи пієлонефрит), неускладнених інфекцій шкіри, пневмонії,  а  також  у  разі емпіричного лікування </w:t>
      </w:r>
      <w:proofErr w:type="spellStart"/>
      <w:r>
        <w:rPr>
          <w:lang w:val="uk-UA"/>
        </w:rPr>
        <w:t>фебрильної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нейтропенії</w:t>
      </w:r>
      <w:proofErr w:type="spellEnd"/>
      <w:r>
        <w:rPr>
          <w:lang w:val="uk-UA"/>
        </w:rPr>
        <w:t xml:space="preserve"> становить 50 мг/кг кожні 12 годин (хворим на </w:t>
      </w:r>
      <w:proofErr w:type="spellStart"/>
      <w:r>
        <w:rPr>
          <w:lang w:val="uk-UA"/>
        </w:rPr>
        <w:t>фебрильну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нейтропенію</w:t>
      </w:r>
      <w:proofErr w:type="spellEnd"/>
      <w:r>
        <w:rPr>
          <w:lang w:val="uk-UA"/>
        </w:rPr>
        <w:t xml:space="preserve"> та бактеріальний менінгіт — кожні 8 годин). Звичайна тривалість лікування становить 7–10 днів, тяжкі інфекції можуть вимагати більш тривалого лікування.</w:t>
      </w:r>
    </w:p>
    <w:p w:rsidR="00121060" w:rsidRDefault="00121060" w:rsidP="00121060">
      <w:pPr>
        <w:rPr>
          <w:lang w:val="uk-UA"/>
        </w:rPr>
      </w:pPr>
      <w:r>
        <w:rPr>
          <w:lang w:val="uk-UA"/>
        </w:rPr>
        <w:t xml:space="preserve">Дітям з масою тіла 40 кг і більше </w:t>
      </w:r>
      <w:proofErr w:type="spellStart"/>
      <w:r>
        <w:rPr>
          <w:lang w:val="uk-UA"/>
        </w:rPr>
        <w:t>цефепім</w:t>
      </w:r>
      <w:proofErr w:type="spellEnd"/>
      <w:r>
        <w:rPr>
          <w:lang w:val="uk-UA"/>
        </w:rPr>
        <w:t xml:space="preserve"> призначати, як і дорослим.</w:t>
      </w:r>
    </w:p>
    <w:p w:rsidR="00121060" w:rsidRDefault="00121060" w:rsidP="00121060">
      <w:pPr>
        <w:jc w:val="both"/>
        <w:rPr>
          <w:lang w:val="uk-UA"/>
        </w:rPr>
      </w:pPr>
      <w:r>
        <w:rPr>
          <w:i/>
          <w:iCs/>
          <w:lang w:val="uk-UA"/>
        </w:rPr>
        <w:t xml:space="preserve">Введення препарату. </w:t>
      </w:r>
      <w:proofErr w:type="spellStart"/>
      <w:r>
        <w:rPr>
          <w:lang w:val="uk-UA"/>
        </w:rPr>
        <w:t>Цефепім</w:t>
      </w:r>
      <w:proofErr w:type="spellEnd"/>
      <w:r>
        <w:rPr>
          <w:lang w:val="uk-UA"/>
        </w:rPr>
        <w:t xml:space="preserve"> можна вводити внутрішньовенно або за допомогою глибокої </w:t>
      </w:r>
      <w:proofErr w:type="spellStart"/>
      <w:r>
        <w:rPr>
          <w:lang w:val="uk-UA"/>
        </w:rPr>
        <w:t>внутрішньом’язової</w:t>
      </w:r>
      <w:proofErr w:type="spellEnd"/>
      <w:r>
        <w:rPr>
          <w:lang w:val="uk-UA"/>
        </w:rPr>
        <w:t xml:space="preserve"> ін’єкції у великий м’яз (наприклад, у верхній зовнішній квадрант сідничного м’яза — </w:t>
      </w:r>
      <w:proofErr w:type="spellStart"/>
      <w:r>
        <w:rPr>
          <w:i/>
          <w:iCs/>
          <w:lang w:val="uk-UA"/>
        </w:rPr>
        <w:t>gluteus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maximus</w:t>
      </w:r>
      <w:proofErr w:type="spellEnd"/>
      <w:r>
        <w:rPr>
          <w:lang w:val="uk-UA"/>
        </w:rPr>
        <w:t>).</w:t>
      </w:r>
    </w:p>
    <w:p w:rsidR="00121060" w:rsidRDefault="00121060" w:rsidP="00121060">
      <w:pPr>
        <w:jc w:val="both"/>
        <w:rPr>
          <w:lang w:val="uk-UA"/>
        </w:rPr>
      </w:pPr>
      <w:r>
        <w:rPr>
          <w:i/>
          <w:iCs/>
          <w:lang w:val="uk-UA"/>
        </w:rPr>
        <w:t>Внутрішньовенне введення</w:t>
      </w:r>
      <w:r>
        <w:rPr>
          <w:bCs/>
          <w:i/>
          <w:iCs/>
          <w:lang w:val="uk-UA"/>
        </w:rPr>
        <w:t>.</w:t>
      </w:r>
      <w:r>
        <w:rPr>
          <w:b/>
          <w:bCs/>
          <w:i/>
          <w:iCs/>
          <w:lang w:val="uk-UA"/>
        </w:rPr>
        <w:t xml:space="preserve"> </w:t>
      </w:r>
      <w:r>
        <w:rPr>
          <w:lang w:val="uk-UA"/>
        </w:rPr>
        <w:t>Внутрішньовенний шлях уведення кращий для хворих із тяжкими або загрозливими для життя інфекціями.</w:t>
      </w:r>
    </w:p>
    <w:p w:rsidR="00121060" w:rsidRDefault="00121060" w:rsidP="00121060">
      <w:pPr>
        <w:jc w:val="both"/>
        <w:rPr>
          <w:lang w:val="uk-UA"/>
        </w:rPr>
      </w:pPr>
      <w:r>
        <w:rPr>
          <w:lang w:val="uk-UA"/>
        </w:rPr>
        <w:t xml:space="preserve">При внутрішньовенному способі введення </w:t>
      </w:r>
      <w:proofErr w:type="spellStart"/>
      <w:r>
        <w:rPr>
          <w:lang w:val="uk-UA"/>
        </w:rPr>
        <w:t>цефепім</w:t>
      </w:r>
      <w:proofErr w:type="spellEnd"/>
      <w:r>
        <w:rPr>
          <w:lang w:val="uk-UA"/>
        </w:rPr>
        <w:t xml:space="preserve"> розчинити у стерильній воді для ін’єкцій, у 5 % розчині глюкози для ін’єкцій або 0,9 % розчині натрію хлориду, як зазначено у таблиці 4. Вводити внутрішньовенно повільно протягом 3–5 хвилин або через систему для внутрішньовенного введення.</w:t>
      </w:r>
    </w:p>
    <w:p w:rsidR="00121060" w:rsidRDefault="00121060" w:rsidP="00121060">
      <w:pPr>
        <w:jc w:val="both"/>
        <w:rPr>
          <w:lang w:val="uk-UA"/>
        </w:rPr>
      </w:pPr>
      <w:proofErr w:type="spellStart"/>
      <w:r>
        <w:rPr>
          <w:i/>
          <w:iCs/>
          <w:lang w:val="uk-UA"/>
        </w:rPr>
        <w:t>Внутрішньом’язове</w:t>
      </w:r>
      <w:proofErr w:type="spellEnd"/>
      <w:r>
        <w:rPr>
          <w:i/>
          <w:iCs/>
          <w:lang w:val="uk-UA"/>
        </w:rPr>
        <w:t xml:space="preserve"> введення</w:t>
      </w:r>
      <w:r>
        <w:rPr>
          <w:bCs/>
          <w:iCs/>
          <w:lang w:val="uk-UA"/>
        </w:rPr>
        <w:t>.</w:t>
      </w:r>
      <w:r>
        <w:rPr>
          <w:b/>
          <w:bCs/>
          <w:i/>
          <w:iCs/>
          <w:lang w:val="uk-UA"/>
        </w:rPr>
        <w:t xml:space="preserve"> </w:t>
      </w:r>
      <w:proofErr w:type="spellStart"/>
      <w:r>
        <w:rPr>
          <w:lang w:val="uk-UA"/>
        </w:rPr>
        <w:t>Цефепім</w:t>
      </w:r>
      <w:proofErr w:type="spellEnd"/>
      <w:r>
        <w:rPr>
          <w:lang w:val="uk-UA"/>
        </w:rPr>
        <w:t xml:space="preserve"> можна розчинити у стерильній воді для ін’єкцій, 0,9 % розчині натрію хлориду для ін’єкцій, 5 % розчині глюкози для ін’єкцій, бактеріостатичній воді для ін’єкцій з </w:t>
      </w:r>
      <w:proofErr w:type="spellStart"/>
      <w:r>
        <w:rPr>
          <w:lang w:val="uk-UA"/>
        </w:rPr>
        <w:t>парабеном</w:t>
      </w:r>
      <w:proofErr w:type="spellEnd"/>
      <w:r>
        <w:rPr>
          <w:lang w:val="uk-UA"/>
        </w:rPr>
        <w:t xml:space="preserve"> або </w:t>
      </w:r>
      <w:proofErr w:type="spellStart"/>
      <w:r>
        <w:rPr>
          <w:lang w:val="uk-UA"/>
        </w:rPr>
        <w:t>бензиловим</w:t>
      </w:r>
      <w:proofErr w:type="spellEnd"/>
      <w:r>
        <w:rPr>
          <w:lang w:val="uk-UA"/>
        </w:rPr>
        <w:t xml:space="preserve"> спиртом, 0,5 % або 1 % розчині </w:t>
      </w:r>
      <w:proofErr w:type="spellStart"/>
      <w:r>
        <w:rPr>
          <w:lang w:val="uk-UA"/>
        </w:rPr>
        <w:t>лідокаїну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гідрохлориду</w:t>
      </w:r>
      <w:proofErr w:type="spellEnd"/>
      <w:r>
        <w:rPr>
          <w:lang w:val="uk-UA"/>
        </w:rPr>
        <w:t xml:space="preserve"> в концентраціях, що  вказані у таблиці 4.</w:t>
      </w:r>
    </w:p>
    <w:p w:rsidR="00121060" w:rsidRDefault="00121060" w:rsidP="00121060">
      <w:pPr>
        <w:jc w:val="right"/>
        <w:rPr>
          <w:lang w:val="uk-UA"/>
        </w:rPr>
      </w:pPr>
      <w:bookmarkStart w:id="1" w:name="_Hlk57037561"/>
      <w:r>
        <w:rPr>
          <w:lang w:val="uk-UA"/>
        </w:rPr>
        <w:t>Таблиця 4</w:t>
      </w:r>
    </w:p>
    <w:tbl>
      <w:tblPr>
        <w:tblW w:w="513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112"/>
        <w:gridCol w:w="2077"/>
        <w:gridCol w:w="2714"/>
        <w:gridCol w:w="2553"/>
      </w:tblGrid>
      <w:tr w:rsidR="00121060" w:rsidTr="00F86B47">
        <w:trPr>
          <w:tblCellSpacing w:w="15" w:type="dxa"/>
        </w:trPr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1"/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Шлях введення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Об’єм розчину для розведення (мл)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Приблизний об’єм одержаного розчину (мл)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Приблизна концентрація </w:t>
            </w:r>
            <w:proofErr w:type="spellStart"/>
            <w:r>
              <w:rPr>
                <w:lang w:val="uk-UA"/>
              </w:rPr>
              <w:t>цефепіму</w:t>
            </w:r>
            <w:proofErr w:type="spellEnd"/>
            <w:r>
              <w:rPr>
                <w:lang w:val="uk-UA"/>
              </w:rPr>
              <w:t xml:space="preserve"> (мг/мл)</w:t>
            </w:r>
          </w:p>
        </w:tc>
      </w:tr>
      <w:tr w:rsidR="00121060" w:rsidTr="00F86B47">
        <w:trPr>
          <w:tblCellSpacing w:w="15" w:type="dxa"/>
        </w:trPr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rPr>
                <w:lang w:val="uk-UA"/>
              </w:rPr>
            </w:pPr>
            <w:r>
              <w:rPr>
                <w:lang w:val="uk-UA"/>
              </w:rPr>
              <w:t>Внутрішньовенне ведення</w:t>
            </w:r>
            <w:r>
              <w:rPr>
                <w:lang w:val="uk-UA"/>
              </w:rPr>
              <w:br/>
              <w:t>500 мг/флакон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5,7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</w:tr>
      <w:tr w:rsidR="00121060" w:rsidTr="00F86B47">
        <w:trPr>
          <w:tblCellSpacing w:w="15" w:type="dxa"/>
        </w:trPr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Внутрішньом’язове</w:t>
            </w:r>
            <w:proofErr w:type="spellEnd"/>
            <w:r>
              <w:rPr>
                <w:lang w:val="uk-UA"/>
              </w:rPr>
              <w:t xml:space="preserve"> введення</w:t>
            </w:r>
            <w:r>
              <w:rPr>
                <w:lang w:val="uk-UA"/>
              </w:rPr>
              <w:br/>
              <w:t>500 мг/флакон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230</w:t>
            </w:r>
          </w:p>
        </w:tc>
      </w:tr>
      <w:tr w:rsidR="00121060" w:rsidTr="00F86B47">
        <w:trPr>
          <w:tblCellSpacing w:w="15" w:type="dxa"/>
        </w:trPr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rPr>
                <w:lang w:val="uk-UA"/>
              </w:rPr>
            </w:pPr>
            <w:bookmarkStart w:id="2" w:name="_Hlk57037593"/>
            <w:r>
              <w:rPr>
                <w:lang w:val="uk-UA"/>
              </w:rPr>
              <w:t>Внутрішньовенне ведення</w:t>
            </w:r>
            <w:r>
              <w:rPr>
                <w:lang w:val="uk-UA"/>
              </w:rPr>
              <w:br/>
              <w:t>1000 мг/флакон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br/>
              <w:t>10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br/>
              <w:t>11,4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br/>
              <w:t>90</w:t>
            </w:r>
          </w:p>
        </w:tc>
      </w:tr>
      <w:tr w:rsidR="00121060" w:rsidTr="00F86B47">
        <w:trPr>
          <w:tblCellSpacing w:w="15" w:type="dxa"/>
        </w:trPr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Внутрішньом’язове</w:t>
            </w:r>
            <w:proofErr w:type="spellEnd"/>
            <w:r>
              <w:rPr>
                <w:lang w:val="uk-UA"/>
              </w:rPr>
              <w:t xml:space="preserve"> введення</w:t>
            </w:r>
            <w:r>
              <w:rPr>
                <w:lang w:val="uk-UA"/>
              </w:rPr>
              <w:br/>
              <w:t>1000 мг/флакон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br/>
              <w:t>3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br/>
              <w:t>4,4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060" w:rsidRDefault="00121060" w:rsidP="00F8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br/>
              <w:t>230</w:t>
            </w:r>
          </w:p>
        </w:tc>
      </w:tr>
    </w:tbl>
    <w:bookmarkEnd w:id="2"/>
    <w:p w:rsidR="00121060" w:rsidRDefault="00121060" w:rsidP="00121060">
      <w:pPr>
        <w:jc w:val="both"/>
        <w:rPr>
          <w:lang w:val="uk-UA"/>
        </w:rPr>
      </w:pPr>
      <w:r>
        <w:rPr>
          <w:lang w:val="uk-UA"/>
        </w:rPr>
        <w:t xml:space="preserve">Готовий розчин </w:t>
      </w:r>
      <w:proofErr w:type="spellStart"/>
      <w:r>
        <w:rPr>
          <w:lang w:val="uk-UA"/>
        </w:rPr>
        <w:t>цефепіму</w:t>
      </w:r>
      <w:proofErr w:type="spellEnd"/>
      <w:r>
        <w:rPr>
          <w:lang w:val="uk-UA"/>
        </w:rPr>
        <w:t xml:space="preserve"> перед введенням слід візуально перевірити на відсутність механічних включень.</w:t>
      </w:r>
    </w:p>
    <w:p w:rsidR="00121060" w:rsidRDefault="00121060" w:rsidP="00121060">
      <w:pPr>
        <w:jc w:val="both"/>
        <w:rPr>
          <w:lang w:val="uk-UA"/>
        </w:rPr>
      </w:pPr>
      <w:r>
        <w:rPr>
          <w:lang w:val="uk-UA"/>
        </w:rPr>
        <w:t xml:space="preserve">Приготовлені розчини препарату для </w:t>
      </w:r>
      <w:proofErr w:type="spellStart"/>
      <w:r>
        <w:rPr>
          <w:lang w:val="uk-UA"/>
        </w:rPr>
        <w:t>внутрішньом’язового</w:t>
      </w:r>
      <w:proofErr w:type="spellEnd"/>
      <w:r>
        <w:rPr>
          <w:lang w:val="uk-UA"/>
        </w:rPr>
        <w:t xml:space="preserve"> та  внутрішньовенного введення можна зберігати протягом 24 годин при кімнатній температурі або 7 днів у холодильнику (2–8 °С).</w:t>
      </w:r>
    </w:p>
    <w:p w:rsidR="00121060" w:rsidRDefault="00121060" w:rsidP="00121060">
      <w:pPr>
        <w:rPr>
          <w:lang w:val="uk-UA"/>
        </w:rPr>
      </w:pPr>
    </w:p>
    <w:p w:rsidR="00121060" w:rsidRDefault="00121060" w:rsidP="00121060">
      <w:pPr>
        <w:jc w:val="both"/>
        <w:rPr>
          <w:b/>
          <w:i/>
          <w:iCs/>
          <w:lang w:val="uk-UA"/>
        </w:rPr>
      </w:pPr>
      <w:r>
        <w:rPr>
          <w:b/>
          <w:i/>
          <w:iCs/>
          <w:lang w:val="uk-UA"/>
        </w:rPr>
        <w:t>Діти.</w:t>
      </w:r>
    </w:p>
    <w:p w:rsidR="00121060" w:rsidRDefault="00121060" w:rsidP="00121060">
      <w:pPr>
        <w:jc w:val="both"/>
        <w:rPr>
          <w:lang w:val="uk-UA"/>
        </w:rPr>
      </w:pPr>
      <w:r>
        <w:rPr>
          <w:lang w:val="uk-UA"/>
        </w:rPr>
        <w:t xml:space="preserve">Застосовувати дітям віком від 1 місяця. При застосуванні </w:t>
      </w:r>
      <w:proofErr w:type="spellStart"/>
      <w:r>
        <w:rPr>
          <w:lang w:val="uk-UA"/>
        </w:rPr>
        <w:t>лідокаїну</w:t>
      </w:r>
      <w:proofErr w:type="spellEnd"/>
      <w:r>
        <w:rPr>
          <w:lang w:val="uk-UA"/>
        </w:rPr>
        <w:t xml:space="preserve"> як розчинника слід врахувати інформацію з безпеки </w:t>
      </w:r>
      <w:proofErr w:type="spellStart"/>
      <w:r>
        <w:rPr>
          <w:lang w:val="uk-UA"/>
        </w:rPr>
        <w:t>лідокаїну</w:t>
      </w:r>
      <w:proofErr w:type="spellEnd"/>
      <w:r>
        <w:rPr>
          <w:lang w:val="uk-UA"/>
        </w:rPr>
        <w:t>. У разі призначення лікарського засобу дітям віком від 1 місяця лікар повинен ретельно оцінити дозу препарату залежно від віку, маси тіла пацієнта, ступеня тяжкості та типу інфекції; стану функції нирок.</w:t>
      </w:r>
    </w:p>
    <w:p w:rsidR="00121060" w:rsidRDefault="00121060" w:rsidP="00121060">
      <w:pPr>
        <w:jc w:val="both"/>
        <w:rPr>
          <w:lang w:val="uk-UA"/>
        </w:rPr>
      </w:pPr>
    </w:p>
    <w:p w:rsidR="00121060" w:rsidRDefault="00121060" w:rsidP="00121060">
      <w:pPr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Передозування.</w:t>
      </w:r>
    </w:p>
    <w:p w:rsidR="00121060" w:rsidRDefault="00121060" w:rsidP="00121060">
      <w:pPr>
        <w:jc w:val="both"/>
        <w:rPr>
          <w:lang w:val="uk-UA"/>
        </w:rPr>
      </w:pPr>
      <w:r>
        <w:rPr>
          <w:i/>
          <w:iCs/>
          <w:lang w:val="uk-UA"/>
        </w:rPr>
        <w:t xml:space="preserve">Симптоми: </w:t>
      </w:r>
      <w:r>
        <w:rPr>
          <w:lang w:val="uk-UA"/>
        </w:rPr>
        <w:t xml:space="preserve">у разі значного перевищення рекомендованих доз, особливо у хворих з порушеною функцією нирок, посилюються прояви побічної дії. Симптоми передозування включають </w:t>
      </w:r>
      <w:proofErr w:type="spellStart"/>
      <w:r>
        <w:rPr>
          <w:lang w:val="uk-UA"/>
        </w:rPr>
        <w:t>енцефалопатію</w:t>
      </w:r>
      <w:proofErr w:type="spellEnd"/>
      <w:r>
        <w:rPr>
          <w:lang w:val="uk-UA"/>
        </w:rPr>
        <w:t xml:space="preserve">, що супроводжується галюцинаціями, порушенням свідомості, ступором, комою, </w:t>
      </w:r>
      <w:proofErr w:type="spellStart"/>
      <w:r>
        <w:rPr>
          <w:lang w:val="uk-UA"/>
        </w:rPr>
        <w:t>міоклонією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епілептиформними</w:t>
      </w:r>
      <w:proofErr w:type="spellEnd"/>
      <w:r>
        <w:rPr>
          <w:lang w:val="uk-UA"/>
        </w:rPr>
        <w:t xml:space="preserve"> нападами, </w:t>
      </w:r>
      <w:proofErr w:type="spellStart"/>
      <w:r>
        <w:rPr>
          <w:lang w:val="uk-UA"/>
        </w:rPr>
        <w:t>нейром’язовою</w:t>
      </w:r>
      <w:proofErr w:type="spellEnd"/>
      <w:r>
        <w:rPr>
          <w:lang w:val="uk-UA"/>
        </w:rPr>
        <w:t xml:space="preserve"> збудливістю.</w:t>
      </w:r>
    </w:p>
    <w:p w:rsidR="00121060" w:rsidRDefault="00121060" w:rsidP="00121060">
      <w:pPr>
        <w:jc w:val="both"/>
        <w:rPr>
          <w:lang w:val="uk-UA"/>
        </w:rPr>
      </w:pPr>
      <w:r>
        <w:rPr>
          <w:i/>
          <w:iCs/>
          <w:lang w:val="uk-UA"/>
        </w:rPr>
        <w:t xml:space="preserve">Лікування. </w:t>
      </w:r>
      <w:r>
        <w:rPr>
          <w:lang w:val="uk-UA"/>
        </w:rPr>
        <w:t xml:space="preserve">Слід припинити введення лікарського засобу, провести симптоматичну терапію. Застосування гемодіалізу пришвидшує видалення </w:t>
      </w:r>
      <w:proofErr w:type="spellStart"/>
      <w:r>
        <w:rPr>
          <w:lang w:val="uk-UA"/>
        </w:rPr>
        <w:t>цефепіму</w:t>
      </w:r>
      <w:proofErr w:type="spellEnd"/>
      <w:r>
        <w:rPr>
          <w:lang w:val="uk-UA"/>
        </w:rPr>
        <w:t xml:space="preserve"> з організму; перитонеальний діаліз малоефективний. Тяжкі алергічні реакції негайного типу потребують застосування адреналіну та інших форм інтенсивної терапії.</w:t>
      </w:r>
    </w:p>
    <w:p w:rsidR="00121060" w:rsidRDefault="00121060" w:rsidP="00121060">
      <w:pPr>
        <w:rPr>
          <w:lang w:val="uk-UA"/>
        </w:rPr>
      </w:pPr>
    </w:p>
    <w:p w:rsidR="00121060" w:rsidRDefault="00121060" w:rsidP="00121060">
      <w:pPr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spacing w:val="-2"/>
          <w:lang w:val="uk-UA"/>
        </w:rPr>
        <w:lastRenderedPageBreak/>
        <w:t>Побічні реакції.</w:t>
      </w:r>
    </w:p>
    <w:p w:rsidR="00121060" w:rsidRDefault="00121060" w:rsidP="00121060">
      <w:pPr>
        <w:pStyle w:val="c53"/>
        <w:spacing w:before="0" w:beforeAutospacing="0" w:after="0" w:afterAutospacing="0"/>
        <w:jc w:val="both"/>
        <w:rPr>
          <w:lang w:val="uk-UA"/>
        </w:rPr>
      </w:pPr>
      <w:r>
        <w:rPr>
          <w:i/>
          <w:iCs/>
          <w:lang w:val="uk-UA"/>
        </w:rPr>
        <w:t xml:space="preserve">З боку імунної системи: </w:t>
      </w:r>
      <w:r>
        <w:rPr>
          <w:lang w:val="uk-UA"/>
        </w:rPr>
        <w:t xml:space="preserve">реакції </w:t>
      </w:r>
      <w:proofErr w:type="spellStart"/>
      <w:r>
        <w:rPr>
          <w:lang w:val="uk-UA"/>
        </w:rPr>
        <w:t>гіперчутливості</w:t>
      </w:r>
      <w:proofErr w:type="spellEnd"/>
      <w:r>
        <w:rPr>
          <w:lang w:val="uk-UA"/>
        </w:rPr>
        <w:t xml:space="preserve">, включаючи анафілаксію, анафілактичний шок, </w:t>
      </w:r>
      <w:proofErr w:type="spellStart"/>
      <w:r>
        <w:rPr>
          <w:lang w:val="uk-UA"/>
        </w:rPr>
        <w:t>ангіоневротичний</w:t>
      </w:r>
      <w:proofErr w:type="spellEnd"/>
      <w:r>
        <w:rPr>
          <w:lang w:val="uk-UA"/>
        </w:rPr>
        <w:t xml:space="preserve"> набряк, висипання, еритему, свербіж, кропив’янку, підвищення температури.</w:t>
      </w:r>
    </w:p>
    <w:p w:rsidR="00121060" w:rsidRDefault="00121060" w:rsidP="00121060">
      <w:pPr>
        <w:pStyle w:val="c53"/>
        <w:spacing w:before="0" w:beforeAutospacing="0" w:after="0" w:afterAutospacing="0"/>
        <w:jc w:val="both"/>
        <w:rPr>
          <w:lang w:val="uk-UA"/>
        </w:rPr>
      </w:pPr>
      <w:r>
        <w:rPr>
          <w:i/>
          <w:iCs/>
          <w:lang w:val="uk-UA"/>
        </w:rPr>
        <w:t xml:space="preserve">З  боку травного тракту: </w:t>
      </w:r>
      <w:r>
        <w:rPr>
          <w:lang w:val="uk-UA"/>
        </w:rPr>
        <w:t xml:space="preserve">нудота, блювання, </w:t>
      </w:r>
      <w:proofErr w:type="spellStart"/>
      <w:r>
        <w:rPr>
          <w:lang w:val="uk-UA"/>
        </w:rPr>
        <w:t>кандидоз</w:t>
      </w:r>
      <w:proofErr w:type="spellEnd"/>
      <w:r>
        <w:rPr>
          <w:lang w:val="uk-UA"/>
        </w:rPr>
        <w:t xml:space="preserve"> ротової порожнини, діарея, коліт (у тому числі </w:t>
      </w:r>
      <w:proofErr w:type="spellStart"/>
      <w:r>
        <w:rPr>
          <w:lang w:val="uk-UA"/>
        </w:rPr>
        <w:t>псевдомембранозний</w:t>
      </w:r>
      <w:proofErr w:type="spellEnd"/>
      <w:r>
        <w:rPr>
          <w:lang w:val="uk-UA"/>
        </w:rPr>
        <w:t>), запор, біль у животі, диспепсія, зміна відчуття смаку.</w:t>
      </w:r>
    </w:p>
    <w:p w:rsidR="00121060" w:rsidRDefault="00121060" w:rsidP="00121060">
      <w:pPr>
        <w:pStyle w:val="c53"/>
        <w:spacing w:before="0" w:beforeAutospacing="0" w:after="0" w:afterAutospacing="0"/>
        <w:jc w:val="both"/>
        <w:rPr>
          <w:lang w:val="uk-UA"/>
        </w:rPr>
      </w:pPr>
      <w:r>
        <w:rPr>
          <w:i/>
          <w:iCs/>
          <w:lang w:val="uk-UA"/>
        </w:rPr>
        <w:t xml:space="preserve">З боку </w:t>
      </w:r>
      <w:proofErr w:type="spellStart"/>
      <w:r>
        <w:rPr>
          <w:i/>
          <w:iCs/>
          <w:lang w:val="uk-UA"/>
        </w:rPr>
        <w:t>гепатобіліарної</w:t>
      </w:r>
      <w:proofErr w:type="spellEnd"/>
      <w:r>
        <w:rPr>
          <w:i/>
          <w:iCs/>
          <w:lang w:val="uk-UA"/>
        </w:rPr>
        <w:t xml:space="preserve"> системи: </w:t>
      </w:r>
      <w:r>
        <w:rPr>
          <w:lang w:val="uk-UA"/>
        </w:rPr>
        <w:t xml:space="preserve">гепатит, </w:t>
      </w:r>
      <w:proofErr w:type="spellStart"/>
      <w:r>
        <w:rPr>
          <w:lang w:val="uk-UA"/>
        </w:rPr>
        <w:t>холестатична</w:t>
      </w:r>
      <w:proofErr w:type="spellEnd"/>
      <w:r>
        <w:rPr>
          <w:lang w:val="uk-UA"/>
        </w:rPr>
        <w:t xml:space="preserve"> жовтяниця, зниження активності протромбіну.</w:t>
      </w:r>
    </w:p>
    <w:p w:rsidR="00121060" w:rsidRDefault="00121060" w:rsidP="00121060">
      <w:pPr>
        <w:pStyle w:val="c53"/>
        <w:spacing w:before="0" w:beforeAutospacing="0" w:after="0" w:afterAutospacing="0"/>
        <w:jc w:val="both"/>
        <w:rPr>
          <w:lang w:val="uk-UA"/>
        </w:rPr>
      </w:pPr>
      <w:r>
        <w:rPr>
          <w:i/>
          <w:iCs/>
          <w:lang w:val="uk-UA"/>
        </w:rPr>
        <w:t xml:space="preserve">З боку нервової системи: </w:t>
      </w:r>
      <w:r>
        <w:rPr>
          <w:lang w:val="uk-UA"/>
        </w:rPr>
        <w:t>запаморочення, головний біль, неспокій, безсоння, парестезії, сплутаність/втрата свідомості, судоми/</w:t>
      </w:r>
      <w:proofErr w:type="spellStart"/>
      <w:r>
        <w:rPr>
          <w:lang w:val="uk-UA"/>
        </w:rPr>
        <w:t>епілептиформні</w:t>
      </w:r>
      <w:proofErr w:type="spellEnd"/>
      <w:r>
        <w:rPr>
          <w:lang w:val="uk-UA"/>
        </w:rPr>
        <w:t xml:space="preserve"> напади, </w:t>
      </w:r>
      <w:proofErr w:type="spellStart"/>
      <w:r>
        <w:rPr>
          <w:lang w:val="uk-UA"/>
        </w:rPr>
        <w:t>міоклонія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енцефалопатія</w:t>
      </w:r>
      <w:proofErr w:type="spellEnd"/>
      <w:r>
        <w:rPr>
          <w:lang w:val="uk-UA"/>
        </w:rPr>
        <w:t>, галюцинації, ступор, кома.</w:t>
      </w:r>
    </w:p>
    <w:p w:rsidR="00121060" w:rsidRDefault="00121060" w:rsidP="00121060">
      <w:pPr>
        <w:pStyle w:val="c53"/>
        <w:spacing w:before="0" w:beforeAutospacing="0" w:after="0" w:afterAutospacing="0"/>
        <w:jc w:val="both"/>
        <w:rPr>
          <w:lang w:val="uk-UA"/>
        </w:rPr>
      </w:pPr>
      <w:r>
        <w:rPr>
          <w:i/>
          <w:iCs/>
          <w:lang w:val="uk-UA"/>
        </w:rPr>
        <w:t xml:space="preserve">Загальні розлади та зміни у місці введення: </w:t>
      </w:r>
      <w:r>
        <w:rPr>
          <w:lang w:val="uk-UA"/>
        </w:rPr>
        <w:t>підвищення температури тіла, пітливість, біль у грудях/спині, астенія,  зміни у місці введення, включаючи запалення, флебіт, біль.</w:t>
      </w:r>
    </w:p>
    <w:p w:rsidR="00121060" w:rsidRDefault="00121060" w:rsidP="00121060">
      <w:pPr>
        <w:pStyle w:val="c53"/>
        <w:spacing w:before="0" w:beforeAutospacing="0" w:after="0" w:afterAutospacing="0"/>
        <w:jc w:val="both"/>
        <w:rPr>
          <w:lang w:val="uk-UA"/>
        </w:rPr>
      </w:pPr>
      <w:r>
        <w:rPr>
          <w:i/>
          <w:iCs/>
          <w:lang w:val="uk-UA"/>
        </w:rPr>
        <w:t xml:space="preserve">Інфекції: </w:t>
      </w:r>
      <w:proofErr w:type="spellStart"/>
      <w:r>
        <w:rPr>
          <w:lang w:val="uk-UA"/>
        </w:rPr>
        <w:t>кандидоз</w:t>
      </w:r>
      <w:proofErr w:type="spellEnd"/>
      <w:r>
        <w:rPr>
          <w:lang w:val="uk-UA"/>
        </w:rPr>
        <w:t xml:space="preserve">, вагініт, </w:t>
      </w:r>
      <w:proofErr w:type="spellStart"/>
      <w:r>
        <w:rPr>
          <w:lang w:val="uk-UA"/>
        </w:rPr>
        <w:t>генітальний</w:t>
      </w:r>
      <w:proofErr w:type="spellEnd"/>
      <w:r>
        <w:rPr>
          <w:lang w:val="uk-UA"/>
        </w:rPr>
        <w:t xml:space="preserve"> свербіж, </w:t>
      </w:r>
      <w:proofErr w:type="spellStart"/>
      <w:r>
        <w:rPr>
          <w:lang w:val="uk-UA"/>
        </w:rPr>
        <w:t>псевдомембранозний</w:t>
      </w:r>
      <w:proofErr w:type="spellEnd"/>
      <w:r>
        <w:rPr>
          <w:lang w:val="uk-UA"/>
        </w:rPr>
        <w:t xml:space="preserve"> коліт, інші </w:t>
      </w:r>
      <w:proofErr w:type="spellStart"/>
      <w:r>
        <w:rPr>
          <w:lang w:val="uk-UA"/>
        </w:rPr>
        <w:t>суперінфекції</w:t>
      </w:r>
      <w:proofErr w:type="spellEnd"/>
      <w:r>
        <w:rPr>
          <w:lang w:val="uk-UA"/>
        </w:rPr>
        <w:t>.</w:t>
      </w:r>
    </w:p>
    <w:p w:rsidR="00121060" w:rsidRDefault="00121060" w:rsidP="00121060">
      <w:pPr>
        <w:pStyle w:val="c53"/>
        <w:spacing w:before="0" w:beforeAutospacing="0" w:after="0" w:afterAutospacing="0"/>
        <w:jc w:val="both"/>
        <w:rPr>
          <w:lang w:val="uk-UA"/>
        </w:rPr>
      </w:pPr>
      <w:r>
        <w:rPr>
          <w:i/>
          <w:iCs/>
          <w:lang w:val="uk-UA"/>
        </w:rPr>
        <w:t xml:space="preserve">З боку дихальної системи: </w:t>
      </w:r>
      <w:r>
        <w:rPr>
          <w:lang w:val="uk-UA"/>
        </w:rPr>
        <w:t>розлади дихання, кашель, біль у горлі, задишка.</w:t>
      </w:r>
    </w:p>
    <w:p w:rsidR="00121060" w:rsidRDefault="00121060" w:rsidP="00121060">
      <w:pPr>
        <w:pStyle w:val="c53"/>
        <w:spacing w:before="0" w:beforeAutospacing="0" w:after="0" w:afterAutospacing="0"/>
        <w:jc w:val="both"/>
        <w:rPr>
          <w:lang w:val="uk-UA"/>
        </w:rPr>
      </w:pPr>
      <w:r>
        <w:rPr>
          <w:i/>
          <w:iCs/>
          <w:lang w:val="uk-UA"/>
        </w:rPr>
        <w:t xml:space="preserve">З боку серцево-судинної системи: </w:t>
      </w:r>
      <w:r>
        <w:rPr>
          <w:lang w:val="uk-UA"/>
        </w:rPr>
        <w:t xml:space="preserve">тахікардія, </w:t>
      </w:r>
      <w:proofErr w:type="spellStart"/>
      <w:r>
        <w:rPr>
          <w:lang w:val="uk-UA"/>
        </w:rPr>
        <w:t>вазодилатація</w:t>
      </w:r>
      <w:proofErr w:type="spellEnd"/>
      <w:r>
        <w:rPr>
          <w:lang w:val="uk-UA"/>
        </w:rPr>
        <w:t>, біль у ділянці серця, периферичні набряки.</w:t>
      </w:r>
    </w:p>
    <w:p w:rsidR="00121060" w:rsidRDefault="00121060" w:rsidP="00121060">
      <w:pPr>
        <w:pStyle w:val="c53"/>
        <w:spacing w:before="0" w:beforeAutospacing="0" w:after="0" w:afterAutospacing="0"/>
        <w:jc w:val="both"/>
        <w:rPr>
          <w:lang w:val="uk-UA"/>
        </w:rPr>
      </w:pPr>
      <w:r>
        <w:rPr>
          <w:i/>
          <w:iCs/>
          <w:lang w:val="uk-UA"/>
        </w:rPr>
        <w:t xml:space="preserve">З боку сечовидільної системи: </w:t>
      </w:r>
      <w:r>
        <w:rPr>
          <w:lang w:val="uk-UA"/>
        </w:rPr>
        <w:t>ниркова недостатність.</w:t>
      </w:r>
    </w:p>
    <w:p w:rsidR="00121060" w:rsidRDefault="00121060" w:rsidP="00121060">
      <w:pPr>
        <w:pStyle w:val="c53"/>
        <w:spacing w:before="0" w:beforeAutospacing="0" w:after="0" w:afterAutospacing="0"/>
        <w:jc w:val="both"/>
        <w:rPr>
          <w:lang w:val="uk-UA"/>
        </w:rPr>
      </w:pPr>
      <w:r>
        <w:rPr>
          <w:i/>
          <w:iCs/>
          <w:lang w:val="uk-UA"/>
        </w:rPr>
        <w:t xml:space="preserve">З боку крові та лімфатичної системи: </w:t>
      </w:r>
      <w:r>
        <w:rPr>
          <w:lang w:val="uk-UA"/>
        </w:rPr>
        <w:t xml:space="preserve">анемія, </w:t>
      </w:r>
      <w:proofErr w:type="spellStart"/>
      <w:r>
        <w:rPr>
          <w:lang w:val="uk-UA"/>
        </w:rPr>
        <w:t>еозинофілія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транзиторна</w:t>
      </w:r>
      <w:proofErr w:type="spellEnd"/>
      <w:r>
        <w:rPr>
          <w:lang w:val="uk-UA"/>
        </w:rPr>
        <w:t xml:space="preserve"> лейкопенія, </w:t>
      </w:r>
      <w:proofErr w:type="spellStart"/>
      <w:r>
        <w:rPr>
          <w:lang w:val="uk-UA"/>
        </w:rPr>
        <w:t>нейтропенія</w:t>
      </w:r>
      <w:proofErr w:type="spellEnd"/>
      <w:r>
        <w:rPr>
          <w:lang w:val="uk-UA"/>
        </w:rPr>
        <w:t xml:space="preserve">, агранулоцитоз, </w:t>
      </w:r>
      <w:proofErr w:type="spellStart"/>
      <w:r>
        <w:rPr>
          <w:lang w:val="uk-UA"/>
        </w:rPr>
        <w:t>тромбоцитопенія</w:t>
      </w:r>
      <w:proofErr w:type="spellEnd"/>
      <w:r>
        <w:rPr>
          <w:lang w:val="uk-UA"/>
        </w:rPr>
        <w:t>.</w:t>
      </w:r>
    </w:p>
    <w:p w:rsidR="00121060" w:rsidRDefault="00121060" w:rsidP="00121060">
      <w:pPr>
        <w:pStyle w:val="c53"/>
        <w:spacing w:before="0" w:beforeAutospacing="0" w:after="0" w:afterAutospacing="0"/>
        <w:jc w:val="both"/>
        <w:rPr>
          <w:lang w:val="uk-UA"/>
        </w:rPr>
      </w:pPr>
      <w:r>
        <w:rPr>
          <w:i/>
          <w:iCs/>
          <w:lang w:val="uk-UA"/>
        </w:rPr>
        <w:t xml:space="preserve">Лабораторні показники: </w:t>
      </w:r>
      <w:r>
        <w:rPr>
          <w:lang w:val="uk-UA"/>
        </w:rPr>
        <w:t xml:space="preserve">збільшення рівня </w:t>
      </w:r>
      <w:proofErr w:type="spellStart"/>
      <w:r>
        <w:rPr>
          <w:lang w:val="uk-UA"/>
        </w:rPr>
        <w:t>аланінамінотрансферази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аспартатамінотрансферази</w:t>
      </w:r>
      <w:proofErr w:type="spellEnd"/>
      <w:r>
        <w:rPr>
          <w:lang w:val="uk-UA"/>
        </w:rPr>
        <w:t xml:space="preserve">, лужної фосфатази, загального білірубіну, збільшення </w:t>
      </w:r>
      <w:proofErr w:type="spellStart"/>
      <w:r>
        <w:rPr>
          <w:lang w:val="uk-UA"/>
        </w:rPr>
        <w:t>протромбінового</w:t>
      </w:r>
      <w:proofErr w:type="spellEnd"/>
      <w:r>
        <w:rPr>
          <w:lang w:val="uk-UA"/>
        </w:rPr>
        <w:t xml:space="preserve"> часу або парціального </w:t>
      </w:r>
      <w:proofErr w:type="spellStart"/>
      <w:r>
        <w:rPr>
          <w:lang w:val="uk-UA"/>
        </w:rPr>
        <w:t>тромбопластинового</w:t>
      </w:r>
      <w:proofErr w:type="spellEnd"/>
      <w:r>
        <w:rPr>
          <w:lang w:val="uk-UA"/>
        </w:rPr>
        <w:t xml:space="preserve"> часу (ПТТ) і позитивний результат тесту </w:t>
      </w:r>
      <w:proofErr w:type="spellStart"/>
      <w:r>
        <w:rPr>
          <w:lang w:val="uk-UA"/>
        </w:rPr>
        <w:t>Кумбса</w:t>
      </w:r>
      <w:proofErr w:type="spellEnd"/>
      <w:r>
        <w:rPr>
          <w:lang w:val="uk-UA"/>
        </w:rPr>
        <w:t xml:space="preserve"> без гемолізу, тимчасове збільшення азоту сечовини крові та/або креатиніну сироватки крові, </w:t>
      </w:r>
      <w:proofErr w:type="spellStart"/>
      <w:r>
        <w:rPr>
          <w:lang w:val="uk-UA"/>
        </w:rPr>
        <w:t>псевдопозитивна</w:t>
      </w:r>
      <w:proofErr w:type="spellEnd"/>
      <w:r>
        <w:rPr>
          <w:lang w:val="uk-UA"/>
        </w:rPr>
        <w:t xml:space="preserve"> реакція на глюкозу в сечі.</w:t>
      </w:r>
    </w:p>
    <w:p w:rsidR="00121060" w:rsidRDefault="00121060" w:rsidP="00121060">
      <w:pPr>
        <w:pStyle w:val="c5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Крім вищезазначених побічних реакцій, можливі побічні реакції, характерні для антибіотиків групи </w:t>
      </w:r>
      <w:proofErr w:type="spellStart"/>
      <w:r>
        <w:rPr>
          <w:lang w:val="uk-UA"/>
        </w:rPr>
        <w:t>цефалоспоринів</w:t>
      </w:r>
      <w:proofErr w:type="spellEnd"/>
      <w:r>
        <w:rPr>
          <w:lang w:val="uk-UA"/>
        </w:rPr>
        <w:t xml:space="preserve">: синдром </w:t>
      </w:r>
      <w:proofErr w:type="spellStart"/>
      <w:r>
        <w:rPr>
          <w:lang w:val="uk-UA"/>
        </w:rPr>
        <w:t>Стівенса</w:t>
      </w:r>
      <w:proofErr w:type="spellEnd"/>
      <w:r>
        <w:rPr>
          <w:lang w:val="uk-UA"/>
        </w:rPr>
        <w:t xml:space="preserve"> — Джонсона, </w:t>
      </w:r>
      <w:proofErr w:type="spellStart"/>
      <w:r>
        <w:rPr>
          <w:lang w:val="uk-UA"/>
        </w:rPr>
        <w:t>мультиформна</w:t>
      </w:r>
      <w:proofErr w:type="spellEnd"/>
      <w:r>
        <w:rPr>
          <w:lang w:val="uk-UA"/>
        </w:rPr>
        <w:t xml:space="preserve"> еритема, токсичний епідермальний </w:t>
      </w:r>
      <w:proofErr w:type="spellStart"/>
      <w:r>
        <w:rPr>
          <w:lang w:val="uk-UA"/>
        </w:rPr>
        <w:t>некроліз</w:t>
      </w:r>
      <w:proofErr w:type="spellEnd"/>
      <w:r>
        <w:rPr>
          <w:lang w:val="uk-UA"/>
        </w:rPr>
        <w:t xml:space="preserve">, токсична нефропатія, </w:t>
      </w:r>
      <w:proofErr w:type="spellStart"/>
      <w:r>
        <w:rPr>
          <w:lang w:val="uk-UA"/>
        </w:rPr>
        <w:t>апластична</w:t>
      </w:r>
      <w:proofErr w:type="spellEnd"/>
      <w:r>
        <w:rPr>
          <w:lang w:val="uk-UA"/>
        </w:rPr>
        <w:t xml:space="preserve"> анемія, гемолітична анемія, кровотечі, порушення функції печінки, </w:t>
      </w:r>
      <w:proofErr w:type="spellStart"/>
      <w:r>
        <w:rPr>
          <w:lang w:val="uk-UA"/>
        </w:rPr>
        <w:t>холестаз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панцитопенія</w:t>
      </w:r>
      <w:proofErr w:type="spellEnd"/>
      <w:r>
        <w:rPr>
          <w:lang w:val="uk-UA"/>
        </w:rPr>
        <w:t>.</w:t>
      </w:r>
    </w:p>
    <w:p w:rsidR="00121060" w:rsidRDefault="00121060" w:rsidP="00121060">
      <w:pPr>
        <w:pStyle w:val="c53"/>
        <w:spacing w:before="0" w:beforeAutospacing="0" w:after="0" w:afterAutospacing="0"/>
        <w:jc w:val="both"/>
        <w:rPr>
          <w:lang w:val="uk-UA"/>
        </w:rPr>
      </w:pPr>
    </w:p>
    <w:p w:rsidR="00121060" w:rsidRDefault="00121060" w:rsidP="00121060">
      <w:pPr>
        <w:jc w:val="both"/>
      </w:pPr>
      <w:r>
        <w:rPr>
          <w:lang w:val="uk-UA"/>
        </w:rPr>
        <w:t>Повідомлення про побічні реакції після реєстрації лікарського засобу має важливе значення.</w:t>
      </w:r>
      <w:r>
        <w:rPr>
          <w:b/>
          <w:lang w:val="uk-UA"/>
        </w:rP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змогу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моніторинг</w:t>
      </w:r>
      <w:proofErr w:type="spellEnd"/>
      <w:r>
        <w:t xml:space="preserve"> </w:t>
      </w:r>
      <w:proofErr w:type="spellStart"/>
      <w:r>
        <w:t>співвідношення</w:t>
      </w:r>
      <w:proofErr w:type="spellEnd"/>
      <w:r>
        <w:t xml:space="preserve"> </w:t>
      </w:r>
      <w:proofErr w:type="spellStart"/>
      <w:r>
        <w:t>користь</w:t>
      </w:r>
      <w:proofErr w:type="spellEnd"/>
      <w:r>
        <w:t>/</w:t>
      </w:r>
      <w:proofErr w:type="spellStart"/>
      <w:r>
        <w:t>ризик</w:t>
      </w:r>
      <w:proofErr w:type="spellEnd"/>
      <w:r>
        <w:t xml:space="preserve"> при </w:t>
      </w:r>
      <w:proofErr w:type="spellStart"/>
      <w:r>
        <w:t>застосуванні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лікарського</w:t>
      </w:r>
      <w:proofErr w:type="spellEnd"/>
      <w:r>
        <w:t xml:space="preserve"> </w:t>
      </w:r>
      <w:proofErr w:type="spellStart"/>
      <w:r>
        <w:t>засобу</w:t>
      </w:r>
      <w:proofErr w:type="spellEnd"/>
      <w:r>
        <w:t xml:space="preserve">. </w:t>
      </w:r>
      <w:proofErr w:type="spellStart"/>
      <w:r>
        <w:t>Медичним</w:t>
      </w:r>
      <w:proofErr w:type="spellEnd"/>
      <w:r>
        <w:t xml:space="preserve"> та </w:t>
      </w:r>
      <w:proofErr w:type="spellStart"/>
      <w:r>
        <w:t>фармацевтичним</w:t>
      </w:r>
      <w:proofErr w:type="spellEnd"/>
      <w:r>
        <w:t xml:space="preserve"> </w:t>
      </w:r>
      <w:proofErr w:type="spellStart"/>
      <w:r>
        <w:t>працівникам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пацієнтам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законним</w:t>
      </w:r>
      <w:proofErr w:type="spellEnd"/>
      <w:r>
        <w:t xml:space="preserve"> </w:t>
      </w:r>
      <w:proofErr w:type="spellStart"/>
      <w:r>
        <w:t>представникам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повідомляти</w:t>
      </w:r>
      <w:proofErr w:type="spellEnd"/>
      <w:r>
        <w:t xml:space="preserve"> про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випадки</w:t>
      </w:r>
      <w:proofErr w:type="spellEnd"/>
      <w:r>
        <w:t xml:space="preserve"> </w:t>
      </w:r>
      <w:proofErr w:type="spellStart"/>
      <w:r>
        <w:t>підозрюваних</w:t>
      </w:r>
      <w:proofErr w:type="spellEnd"/>
      <w:r>
        <w:t xml:space="preserve"> </w:t>
      </w:r>
      <w:proofErr w:type="spellStart"/>
      <w:r>
        <w:t>побічних</w:t>
      </w:r>
      <w:proofErr w:type="spellEnd"/>
      <w:r>
        <w:t xml:space="preserve"> </w:t>
      </w:r>
      <w:proofErr w:type="spellStart"/>
      <w:r>
        <w:t>реакцій</w:t>
      </w:r>
      <w:proofErr w:type="spellEnd"/>
      <w:r>
        <w:t xml:space="preserve"> та </w:t>
      </w:r>
      <w:proofErr w:type="spellStart"/>
      <w:r>
        <w:t>відсутності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лікарського</w:t>
      </w:r>
      <w:proofErr w:type="spellEnd"/>
      <w:r>
        <w:t xml:space="preserve"> </w:t>
      </w:r>
      <w:proofErr w:type="spellStart"/>
      <w:r>
        <w:t>засобу</w:t>
      </w:r>
      <w:proofErr w:type="spellEnd"/>
      <w:r>
        <w:t xml:space="preserve"> через </w:t>
      </w:r>
      <w:proofErr w:type="spellStart"/>
      <w:r>
        <w:t>автоматизовану</w:t>
      </w:r>
      <w:proofErr w:type="spellEnd"/>
      <w:r>
        <w:t xml:space="preserve"> </w:t>
      </w:r>
      <w:proofErr w:type="spellStart"/>
      <w:r>
        <w:t>інформаційну</w:t>
      </w:r>
      <w:proofErr w:type="spellEnd"/>
      <w:r>
        <w:t xml:space="preserve"> систему з </w:t>
      </w:r>
      <w:proofErr w:type="spellStart"/>
      <w:r>
        <w:t>фармаконагляду</w:t>
      </w:r>
      <w:proofErr w:type="spellEnd"/>
      <w:r>
        <w:t xml:space="preserve"> за </w:t>
      </w:r>
      <w:proofErr w:type="spellStart"/>
      <w:r>
        <w:t>посиланням</w:t>
      </w:r>
      <w:proofErr w:type="spellEnd"/>
      <w:r>
        <w:t xml:space="preserve">: </w:t>
      </w:r>
      <w:r>
        <w:rPr>
          <w:lang w:val="en-US"/>
        </w:rPr>
        <w:t>https</w:t>
      </w:r>
      <w:r>
        <w:t>://</w:t>
      </w:r>
      <w:proofErr w:type="spellStart"/>
      <w:r>
        <w:rPr>
          <w:lang w:val="en-US"/>
        </w:rPr>
        <w:t>aisf</w:t>
      </w:r>
      <w:proofErr w:type="spellEnd"/>
      <w:r>
        <w:t>.</w:t>
      </w:r>
      <w:proofErr w:type="spellStart"/>
      <w:r>
        <w:rPr>
          <w:lang w:val="en-US"/>
        </w:rPr>
        <w:t>dec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ua</w:t>
      </w:r>
      <w:proofErr w:type="spellEnd"/>
      <w:r>
        <w:t>/.</w:t>
      </w:r>
    </w:p>
    <w:p w:rsidR="00121060" w:rsidRDefault="00121060" w:rsidP="00121060">
      <w:pPr>
        <w:pStyle w:val="c53"/>
        <w:spacing w:before="0" w:beforeAutospacing="0" w:after="0" w:afterAutospacing="0"/>
        <w:jc w:val="both"/>
      </w:pPr>
    </w:p>
    <w:p w:rsidR="00121060" w:rsidRDefault="00121060" w:rsidP="00121060">
      <w:pPr>
        <w:shd w:val="clear" w:color="auto" w:fill="FFFFFF"/>
        <w:jc w:val="both"/>
        <w:rPr>
          <w:lang w:val="uk-UA"/>
        </w:rPr>
      </w:pPr>
      <w:r>
        <w:rPr>
          <w:b/>
          <w:bCs/>
          <w:i/>
          <w:iCs/>
          <w:lang w:val="uk-UA"/>
        </w:rPr>
        <w:t>Термін придатності</w:t>
      </w:r>
      <w:r>
        <w:rPr>
          <w:b/>
          <w:bCs/>
          <w:iCs/>
          <w:lang w:val="uk-UA"/>
        </w:rPr>
        <w:t xml:space="preserve">. </w:t>
      </w:r>
      <w:r>
        <w:rPr>
          <w:spacing w:val="-5"/>
          <w:lang w:val="uk-UA"/>
        </w:rPr>
        <w:t xml:space="preserve">3 роки </w:t>
      </w:r>
      <w:r>
        <w:rPr>
          <w:bCs/>
          <w:lang w:val="uk-UA"/>
        </w:rPr>
        <w:t xml:space="preserve">(з дати виробництва форми </w:t>
      </w:r>
      <w:proofErr w:type="spellStart"/>
      <w:r>
        <w:rPr>
          <w:bCs/>
          <w:i/>
          <w:lang w:val="uk-UA"/>
        </w:rPr>
        <w:t>in</w:t>
      </w:r>
      <w:proofErr w:type="spellEnd"/>
      <w:r>
        <w:rPr>
          <w:bCs/>
          <w:i/>
          <w:lang w:val="uk-UA"/>
        </w:rPr>
        <w:t xml:space="preserve"> </w:t>
      </w:r>
      <w:proofErr w:type="spellStart"/>
      <w:r>
        <w:rPr>
          <w:bCs/>
          <w:i/>
          <w:lang w:val="uk-UA"/>
        </w:rPr>
        <w:t>bulk</w:t>
      </w:r>
      <w:proofErr w:type="spellEnd"/>
      <w:r>
        <w:rPr>
          <w:bCs/>
          <w:lang w:val="uk-UA"/>
        </w:rPr>
        <w:t>)</w:t>
      </w:r>
      <w:r>
        <w:rPr>
          <w:bCs/>
          <w:spacing w:val="-5"/>
          <w:lang w:val="uk-UA"/>
        </w:rPr>
        <w:t>.</w:t>
      </w:r>
    </w:p>
    <w:p w:rsidR="00121060" w:rsidRDefault="00121060" w:rsidP="00121060">
      <w:pPr>
        <w:shd w:val="clear" w:color="auto" w:fill="FFFFFF"/>
        <w:jc w:val="both"/>
        <w:rPr>
          <w:b/>
          <w:bCs/>
          <w:spacing w:val="-2"/>
          <w:lang w:val="uk-UA"/>
        </w:rPr>
      </w:pPr>
    </w:p>
    <w:p w:rsidR="00121060" w:rsidRDefault="00121060" w:rsidP="00121060">
      <w:pPr>
        <w:shd w:val="clear" w:color="auto" w:fill="FFFFFF"/>
        <w:jc w:val="both"/>
        <w:rPr>
          <w:lang w:val="uk-UA"/>
        </w:rPr>
      </w:pPr>
      <w:r>
        <w:rPr>
          <w:b/>
          <w:bCs/>
          <w:spacing w:val="-2"/>
          <w:lang w:val="uk-UA"/>
        </w:rPr>
        <w:t>Умови зберігання.</w:t>
      </w:r>
    </w:p>
    <w:p w:rsidR="00121060" w:rsidRDefault="00121060" w:rsidP="00121060">
      <w:pPr>
        <w:shd w:val="clear" w:color="auto" w:fill="FFFFFF"/>
        <w:jc w:val="both"/>
        <w:rPr>
          <w:lang w:val="uk-UA"/>
        </w:rPr>
      </w:pPr>
      <w:r>
        <w:rPr>
          <w:spacing w:val="-2"/>
          <w:lang w:val="uk-UA"/>
        </w:rPr>
        <w:t xml:space="preserve">Зберігати в оригінальній упаковці у недоступному для дітей місці при температурі не вище 25 °С. Приготовлені розчини препарату для </w:t>
      </w:r>
      <w:proofErr w:type="spellStart"/>
      <w:r>
        <w:rPr>
          <w:spacing w:val="-2"/>
          <w:lang w:val="uk-UA"/>
        </w:rPr>
        <w:t>внутрішньомʼязового</w:t>
      </w:r>
      <w:proofErr w:type="spellEnd"/>
      <w:r>
        <w:rPr>
          <w:spacing w:val="-2"/>
          <w:lang w:val="uk-UA"/>
        </w:rPr>
        <w:t xml:space="preserve"> і внутрішньовенного</w:t>
      </w:r>
      <w:r>
        <w:rPr>
          <w:lang w:val="uk-UA"/>
        </w:rPr>
        <w:t xml:space="preserve"> введення можна зберігати протягом 24 годин при кімнатній температурі або 7 днів у холодильнику (2–8 </w:t>
      </w:r>
      <w:r>
        <w:rPr>
          <w:lang w:val="uk-UA"/>
        </w:rPr>
        <w:sym w:font="Symbol" w:char="F0B0"/>
      </w:r>
      <w:r>
        <w:rPr>
          <w:lang w:val="uk-UA"/>
        </w:rPr>
        <w:t>С).</w:t>
      </w:r>
    </w:p>
    <w:p w:rsidR="00121060" w:rsidRDefault="00121060" w:rsidP="00121060">
      <w:pPr>
        <w:shd w:val="clear" w:color="auto" w:fill="FFFFFF"/>
        <w:spacing w:before="389" w:line="274" w:lineRule="exact"/>
        <w:contextualSpacing/>
        <w:jc w:val="both"/>
        <w:rPr>
          <w:b/>
          <w:i/>
          <w:lang w:val="uk-UA"/>
        </w:rPr>
      </w:pPr>
    </w:p>
    <w:p w:rsidR="00121060" w:rsidRDefault="00121060" w:rsidP="00121060">
      <w:pPr>
        <w:shd w:val="clear" w:color="auto" w:fill="FFFFFF"/>
        <w:spacing w:before="389" w:line="274" w:lineRule="exact"/>
        <w:contextualSpacing/>
        <w:jc w:val="both"/>
        <w:rPr>
          <w:b/>
          <w:i/>
          <w:lang w:val="uk-UA"/>
        </w:rPr>
      </w:pPr>
      <w:r>
        <w:rPr>
          <w:b/>
          <w:i/>
          <w:lang w:val="uk-UA"/>
        </w:rPr>
        <w:t>Несумісність.</w:t>
      </w:r>
    </w:p>
    <w:p w:rsidR="00121060" w:rsidRDefault="00121060" w:rsidP="00121060">
      <w:pPr>
        <w:shd w:val="clear" w:color="auto" w:fill="FFFFFF"/>
        <w:spacing w:before="389" w:line="274" w:lineRule="exact"/>
        <w:contextualSpacing/>
        <w:jc w:val="both"/>
        <w:rPr>
          <w:lang w:val="uk-UA"/>
        </w:rPr>
      </w:pPr>
      <w:r>
        <w:rPr>
          <w:lang w:val="uk-UA"/>
        </w:rPr>
        <w:t>Не змішувати в одній ємності з іншими лікарськими засобами. Застосовувати розчинники, зазначені в розділах «Спосіб застосування та дози», «Взаємодія з іншими лікарськими засобами та інші види взаємодій».</w:t>
      </w:r>
    </w:p>
    <w:p w:rsidR="00121060" w:rsidRDefault="00121060" w:rsidP="00121060">
      <w:pPr>
        <w:shd w:val="clear" w:color="auto" w:fill="FFFFFF"/>
        <w:spacing w:before="266" w:line="274" w:lineRule="exact"/>
        <w:contextualSpacing/>
        <w:jc w:val="both"/>
        <w:rPr>
          <w:b/>
          <w:bCs/>
          <w:spacing w:val="-4"/>
          <w:lang w:val="uk-UA"/>
        </w:rPr>
      </w:pPr>
    </w:p>
    <w:p w:rsidR="00121060" w:rsidRDefault="00121060" w:rsidP="00121060">
      <w:pPr>
        <w:shd w:val="clear" w:color="auto" w:fill="FFFFFF"/>
        <w:spacing w:before="266" w:line="274" w:lineRule="exact"/>
        <w:contextualSpacing/>
        <w:jc w:val="both"/>
        <w:rPr>
          <w:b/>
          <w:bCs/>
          <w:spacing w:val="-4"/>
          <w:lang w:val="uk-UA"/>
        </w:rPr>
      </w:pPr>
    </w:p>
    <w:p w:rsidR="00121060" w:rsidRDefault="00121060" w:rsidP="00121060">
      <w:pPr>
        <w:shd w:val="clear" w:color="auto" w:fill="FFFFFF"/>
        <w:spacing w:before="266" w:line="274" w:lineRule="exact"/>
        <w:contextualSpacing/>
        <w:jc w:val="both"/>
        <w:rPr>
          <w:lang w:val="uk-UA"/>
        </w:rPr>
      </w:pPr>
      <w:r>
        <w:rPr>
          <w:b/>
          <w:bCs/>
          <w:spacing w:val="-4"/>
          <w:lang w:val="uk-UA"/>
        </w:rPr>
        <w:t>Упаковка.</w:t>
      </w:r>
    </w:p>
    <w:p w:rsidR="00121060" w:rsidRDefault="00121060" w:rsidP="00121060">
      <w:pPr>
        <w:shd w:val="clear" w:color="auto" w:fill="FFFFFF"/>
        <w:spacing w:before="266" w:line="274" w:lineRule="exact"/>
        <w:contextualSpacing/>
        <w:jc w:val="both"/>
        <w:rPr>
          <w:lang w:val="uk-UA"/>
        </w:rPr>
      </w:pPr>
      <w:r>
        <w:rPr>
          <w:lang w:val="uk-UA"/>
        </w:rPr>
        <w:t>По 1 або по 5 флаконів з порошком у картонній коробці.</w:t>
      </w:r>
    </w:p>
    <w:p w:rsidR="00121060" w:rsidRDefault="00121060" w:rsidP="00121060">
      <w:pPr>
        <w:shd w:val="clear" w:color="auto" w:fill="FFFFFF"/>
        <w:spacing w:before="266" w:line="274" w:lineRule="exact"/>
        <w:contextualSpacing/>
        <w:jc w:val="both"/>
        <w:rPr>
          <w:lang w:val="uk-UA"/>
        </w:rPr>
      </w:pPr>
    </w:p>
    <w:p w:rsidR="00121060" w:rsidRDefault="00121060" w:rsidP="00121060">
      <w:pPr>
        <w:shd w:val="clear" w:color="auto" w:fill="FFFFFF"/>
        <w:spacing w:before="266" w:line="274" w:lineRule="exact"/>
        <w:contextualSpacing/>
        <w:jc w:val="both"/>
        <w:rPr>
          <w:lang w:val="uk-UA"/>
        </w:rPr>
      </w:pPr>
      <w:r>
        <w:rPr>
          <w:b/>
          <w:bCs/>
          <w:spacing w:val="-2"/>
          <w:lang w:val="uk-UA"/>
        </w:rPr>
        <w:t>Категорія відпуску.</w:t>
      </w:r>
    </w:p>
    <w:p w:rsidR="00121060" w:rsidRDefault="00121060" w:rsidP="00121060">
      <w:pPr>
        <w:shd w:val="clear" w:color="auto" w:fill="FFFFFF"/>
        <w:jc w:val="both"/>
        <w:rPr>
          <w:spacing w:val="-6"/>
          <w:lang w:val="uk-UA"/>
        </w:rPr>
      </w:pPr>
      <w:r>
        <w:rPr>
          <w:bCs/>
          <w:spacing w:val="-6"/>
          <w:lang w:val="uk-UA"/>
        </w:rPr>
        <w:t xml:space="preserve">За </w:t>
      </w:r>
      <w:r>
        <w:rPr>
          <w:spacing w:val="-6"/>
          <w:lang w:val="uk-UA"/>
        </w:rPr>
        <w:t>рецептом.</w:t>
      </w:r>
    </w:p>
    <w:p w:rsidR="00121060" w:rsidRDefault="00121060" w:rsidP="00121060">
      <w:pPr>
        <w:shd w:val="clear" w:color="auto" w:fill="FFFFFF"/>
        <w:spacing w:before="278" w:line="274" w:lineRule="exact"/>
        <w:contextualSpacing/>
        <w:rPr>
          <w:b/>
          <w:bCs/>
          <w:spacing w:val="-1"/>
          <w:lang w:val="uk-UA"/>
        </w:rPr>
      </w:pPr>
    </w:p>
    <w:p w:rsidR="00121060" w:rsidRDefault="00121060" w:rsidP="00121060">
      <w:pPr>
        <w:rPr>
          <w:b/>
          <w:lang w:val="uk-UA"/>
        </w:rPr>
      </w:pPr>
      <w:r>
        <w:rPr>
          <w:b/>
          <w:lang w:val="uk-UA"/>
        </w:rPr>
        <w:t xml:space="preserve">Виробник. </w:t>
      </w:r>
    </w:p>
    <w:p w:rsidR="00121060" w:rsidRDefault="00121060" w:rsidP="00121060">
      <w:pPr>
        <w:rPr>
          <w:lang w:val="uk-UA"/>
        </w:rPr>
      </w:pPr>
      <w:r>
        <w:rPr>
          <w:bCs/>
          <w:lang w:val="uk-UA"/>
        </w:rPr>
        <w:lastRenderedPageBreak/>
        <w:t xml:space="preserve">ТОВ «ІСТФАРМ», Україна (пакування із форми </w:t>
      </w:r>
      <w:proofErr w:type="spellStart"/>
      <w:r>
        <w:rPr>
          <w:bCs/>
          <w:i/>
          <w:iCs/>
          <w:lang w:val="uk-UA"/>
        </w:rPr>
        <w:t>in</w:t>
      </w:r>
      <w:proofErr w:type="spellEnd"/>
      <w:r>
        <w:rPr>
          <w:bCs/>
          <w:i/>
          <w:iCs/>
          <w:lang w:val="uk-UA"/>
        </w:rPr>
        <w:t xml:space="preserve"> </w:t>
      </w:r>
      <w:proofErr w:type="spellStart"/>
      <w:r>
        <w:rPr>
          <w:bCs/>
          <w:i/>
          <w:iCs/>
          <w:lang w:val="uk-UA"/>
        </w:rPr>
        <w:t>bulk</w:t>
      </w:r>
      <w:proofErr w:type="spellEnd"/>
      <w:r>
        <w:rPr>
          <w:bCs/>
          <w:lang w:val="uk-UA"/>
        </w:rPr>
        <w:t xml:space="preserve"> </w:t>
      </w:r>
      <w:bookmarkStart w:id="3" w:name="_Hlk103948474"/>
      <w:r>
        <w:rPr>
          <w:bCs/>
          <w:lang w:val="uk-UA"/>
        </w:rPr>
        <w:t xml:space="preserve">НСПС </w:t>
      </w:r>
      <w:proofErr w:type="spellStart"/>
      <w:r>
        <w:rPr>
          <w:bCs/>
          <w:lang w:val="uk-UA"/>
        </w:rPr>
        <w:t>Хебей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Хуамін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Фармасьютікал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Компані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Лімітед</w:t>
      </w:r>
      <w:proofErr w:type="spellEnd"/>
      <w:r>
        <w:rPr>
          <w:bCs/>
          <w:lang w:val="uk-UA"/>
        </w:rPr>
        <w:t>, Китай).</w:t>
      </w:r>
    </w:p>
    <w:bookmarkEnd w:id="3"/>
    <w:p w:rsidR="00121060" w:rsidRDefault="00121060" w:rsidP="00121060">
      <w:pPr>
        <w:rPr>
          <w:b/>
          <w:lang w:val="uk-UA"/>
        </w:rPr>
      </w:pPr>
    </w:p>
    <w:p w:rsidR="00121060" w:rsidRDefault="00121060" w:rsidP="00121060">
      <w:pPr>
        <w:rPr>
          <w:b/>
          <w:lang w:val="uk-UA"/>
        </w:rPr>
      </w:pPr>
      <w:r>
        <w:rPr>
          <w:b/>
          <w:lang w:val="uk-UA"/>
        </w:rPr>
        <w:t xml:space="preserve">Місцезнаходження виробника та адреса місця провадження його діяльності. </w:t>
      </w:r>
    </w:p>
    <w:p w:rsidR="00121060" w:rsidRDefault="00121060" w:rsidP="00121060">
      <w:pPr>
        <w:pStyle w:val="a3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Україна, 02099, м. Київ, вул. Ремонтна, 13 </w:t>
      </w:r>
    </w:p>
    <w:p w:rsidR="00F1716C" w:rsidRPr="00121060" w:rsidRDefault="00F1716C">
      <w:pPr>
        <w:rPr>
          <w:lang w:val="uk-UA"/>
        </w:rPr>
      </w:pPr>
      <w:bookmarkStart w:id="4" w:name="_GoBack"/>
      <w:bookmarkEnd w:id="4"/>
    </w:p>
    <w:sectPr w:rsidR="00F1716C" w:rsidRPr="00121060">
      <w:footerReference w:type="even" r:id="rId4"/>
      <w:footerReference w:type="default" r:id="rId5"/>
      <w:pgSz w:w="11906" w:h="16838"/>
      <w:pgMar w:top="622" w:right="850" w:bottom="633" w:left="851" w:header="567" w:footer="20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21060">
    <w:pPr>
      <w:pStyle w:val="a3"/>
      <w:framePr w:wrap="around" w:vAnchor="text" w:hAnchor="margin" w:xAlign="right" w:y="1"/>
      <w:tabs>
        <w:tab w:val="center" w:pos="4677"/>
        <w:tab w:val="right" w:pos="9355"/>
      </w:tabs>
      <w:rPr>
        <w:rStyle w:val="a5"/>
        <w:sz w:val="24"/>
        <w:szCs w:val="24"/>
      </w:rPr>
    </w:pPr>
    <w:r>
      <w:rPr>
        <w:rStyle w:val="a5"/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8</w:t>
    </w:r>
    <w:r>
      <w:rPr>
        <w:rStyle w:val="a5"/>
        <w:sz w:val="24"/>
        <w:szCs w:val="24"/>
      </w:rPr>
      <w:fldChar w:fldCharType="end"/>
    </w:r>
  </w:p>
  <w:p w:rsidR="00000000" w:rsidRDefault="00121060">
    <w:pPr>
      <w:pStyle w:val="a3"/>
      <w:tabs>
        <w:tab w:val="center" w:pos="4677"/>
        <w:tab w:val="right" w:pos="9355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21060">
    <w:pPr>
      <w:pStyle w:val="a3"/>
      <w:tabs>
        <w:tab w:val="center" w:pos="4677"/>
        <w:tab w:val="right" w:pos="9355"/>
      </w:tabs>
      <w:ind w:right="360"/>
      <w:rPr>
        <w:rFonts w:ascii="Times New Roman" w:hAnsi="Times New Roman" w:cs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1C"/>
    <w:rsid w:val="00121060"/>
    <w:rsid w:val="00ED221C"/>
    <w:rsid w:val="00F1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BED53-5E6C-4B0E-9CBA-C99D59A9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"/>
    <w:aliases w:val="Normal (Web) Char,webb,Обычный (Web)"/>
    <w:basedOn w:val="a"/>
    <w:semiHidden/>
    <w:rsid w:val="00121060"/>
    <w:rPr>
      <w:rFonts w:ascii="Tahoma" w:hAnsi="Tahoma" w:cs="Tahoma"/>
      <w:sz w:val="16"/>
      <w:szCs w:val="16"/>
    </w:rPr>
  </w:style>
  <w:style w:type="paragraph" w:customStyle="1" w:styleId="c53">
    <w:name w:val="c_53"/>
    <w:basedOn w:val="a"/>
    <w:rsid w:val="00121060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121060"/>
    <w:rPr>
      <w:i/>
      <w:iCs/>
    </w:rPr>
  </w:style>
  <w:style w:type="character" w:styleId="a5">
    <w:name w:val="page number"/>
    <w:basedOn w:val="a0"/>
    <w:uiPriority w:val="99"/>
    <w:semiHidden/>
    <w:unhideWhenUsed/>
    <w:rsid w:val="00121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4052</Words>
  <Characters>23097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Новак</dc:creator>
  <cp:keywords/>
  <dc:description/>
  <cp:lastModifiedBy>Мария Новак</cp:lastModifiedBy>
  <cp:revision>2</cp:revision>
  <dcterms:created xsi:type="dcterms:W3CDTF">2024-10-02T08:29:00Z</dcterms:created>
  <dcterms:modified xsi:type="dcterms:W3CDTF">2024-10-02T08:29:00Z</dcterms:modified>
</cp:coreProperties>
</file>